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Lightweight Key Technologies for Massive Multi-player Online</w:t>
      </w:r>
    </w:p>
    <w:p>
      <w:pPr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WebVR Conferencing</w:t>
      </w:r>
    </w:p>
    <w:p/>
    <w:p>
      <w:pPr>
        <w:jc w:val="center"/>
      </w:pPr>
      <w:r>
        <w:rPr>
          <w:rFonts w:hint="eastAsia"/>
        </w:rPr>
        <w:t>单位信息：</w:t>
      </w:r>
    </w:p>
    <w:p>
      <w:pPr>
        <w:jc w:val="center"/>
      </w:pPr>
      <w:r>
        <w:rPr>
          <w:rFonts w:hint="eastAsia"/>
        </w:rPr>
        <w:t>作者信息：</w:t>
      </w:r>
    </w:p>
    <w:p/>
    <w:p>
      <w:r>
        <w:rPr>
          <w:rFonts w:hint="eastAsia"/>
        </w:rPr>
        <w:t>摘要</w:t>
      </w:r>
    </w:p>
    <w:p/>
    <w:p/>
    <w:p>
      <w:r>
        <w:rPr>
          <w:rFonts w:hint="eastAsia"/>
        </w:rPr>
        <w:t>关键字</w:t>
      </w:r>
    </w:p>
    <w:p/>
    <w:p/>
    <w:p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引言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2019年底爆发的新冠病毒疫情在多个维度上改变了人们生活、工作、学习以及协作的模式，多种传统的线下行为在疫情隔离的需要之下迁移到线上环境中。此次疫情对社会运行与协作的模式的影响不仅暂时性的，同时也是持久性的，线上新的生活、工作、学习模式将在此次疫情之后得到重大的推进与普及。同时，基于疫情的影响各地政府部门也相继提出在线新经济发展模式，其归根结底是将传统的线下规划/设计/工程/审核/运维/商务/销售/管理等经济模式，经过轻量化处理后移植移动网页端，设计创新商业闭环后形成线上轻量级新经济模式，以适应用户激增后管理难度大、异地沟通成本高、大规模疫情爆发需自然隔离等社会新问题，进一步刺激并提升互联网经济的潜在活力，促进5G时代经济的新增长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在疫情的影响之下，远程在线会议的需求激增，ZOOM会议、腾讯会议、钉钉会议等在线会议平台的使用量增幅巨大，也大大提升了相关产品公司的资本估值。但是目前的在线会议系统具有一定的限制性，主要有以下：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当前的在线会议系统不具有可视化与社交特性。基于传统的音视频的方式无法生动的还原会议的实际情境，代入感较弱。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当前的在线会议系统没有整合VR、AR等新型的互动与展示方式。音视频的方式主要采用传统的图像与声音的信息传播方式，沉浸感比VR、AR相比大大减弱。</w:t>
      </w:r>
    </w:p>
    <w:p>
      <w:pPr>
        <w:numPr>
          <w:ilvl w:val="0"/>
          <w:numId w:val="2"/>
        </w:numPr>
        <w:spacing w:line="360" w:lineRule="auto"/>
        <w:ind w:firstLine="480" w:firstLineChars="200"/>
        <w:rPr>
          <w:rFonts w:ascii="宋体" w:hAnsi="宋体" w:eastAsia="宋体" w:cstheme="minorEastAsia"/>
          <w:b/>
          <w:bCs/>
          <w:sz w:val="24"/>
        </w:rPr>
      </w:pPr>
      <w:r>
        <w:rPr>
          <w:rFonts w:hint="eastAsia" w:ascii="宋体" w:hAnsi="宋体" w:eastAsia="宋体" w:cstheme="minorEastAsia"/>
          <w:sz w:val="24"/>
        </w:rPr>
        <w:t>当前的在线会议系统不具有个性化的角色系统。采用传统头像或是真人呈现的方式，对于不同人群均具有一定的疏离感，不具有互联网社交的属性。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针对上述问题，拟针对后疫情时代下的在线远程会议需求，研发一套基于Web端的在线虚拟现实远程会议协作系统，用来填补市场上虚拟化、个性化的会议系统的空白。主要具有以下特点：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采用虚拟现实的方式进行远程会议环境的呈现，给体验者带来更强的参与感 与沉浸感，使得线上与线下的距离进一步拉近；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采用虚拟化身的方式进行个性化的角色重现，使体验者在虚拟空间中的互动感更加强烈，同时也对虚拟中的形象进行有效的区分，引入个性化社交性元素互远程会议的严肃应用中；</w:t>
      </w:r>
    </w:p>
    <w:p>
      <w:pPr>
        <w:numPr>
          <w:ilvl w:val="0"/>
          <w:numId w:val="3"/>
        </w:num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采用Web+VR的方式进一步减低VR的体验与使用门槛，使系统可以基于浏览器进行跨平台、多端的一键式发布，提升用户使用的友好度与易用性；</w:t>
      </w:r>
    </w:p>
    <w:p>
      <w:pPr>
        <w:rPr>
          <w:b/>
          <w:bCs/>
        </w:rPr>
      </w:pPr>
    </w:p>
    <w:p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相关研究工作</w:t>
      </w:r>
    </w:p>
    <w:p>
      <w:pPr>
        <w:rPr>
          <w:highlight w:val="yellow"/>
        </w:rPr>
      </w:pP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近几年来，VR社交、会议系统已经频频出现在人们的视野中，主要分为两大类第一类是基于PC客户端的VR会议或社交平台平台，如VSWork</w:t>
      </w:r>
      <w:r>
        <w:rPr>
          <w:rFonts w:ascii="宋体" w:hAnsi="宋体" w:eastAsia="宋体" w:cstheme="minorEastAsia"/>
          <w:sz w:val="24"/>
          <w:vertAlign w:val="superscript"/>
        </w:rPr>
        <w:t>[</w:t>
      </w:r>
      <w:r>
        <w:rPr>
          <w:rFonts w:hint="eastAsia" w:ascii="宋体" w:hAnsi="宋体" w:eastAsia="宋体" w:cstheme="minorEastAsia"/>
          <w:sz w:val="24"/>
          <w:vertAlign w:val="superscript"/>
        </w:rPr>
        <w:t>1</w:t>
      </w:r>
      <w:r>
        <w:rPr>
          <w:rFonts w:ascii="宋体" w:hAnsi="宋体" w:eastAsia="宋体" w:cstheme="minorEastAsia"/>
          <w:sz w:val="24"/>
          <w:vertAlign w:val="superscript"/>
        </w:rPr>
        <w:t>]</w:t>
      </w:r>
      <w:r>
        <w:rPr>
          <w:rFonts w:hint="eastAsia" w:ascii="宋体" w:hAnsi="宋体" w:eastAsia="宋体" w:cstheme="minorEastAsia"/>
          <w:sz w:val="24"/>
        </w:rPr>
        <w:t>、Engage</w:t>
      </w:r>
      <w:r>
        <w:rPr>
          <w:rFonts w:ascii="宋体" w:hAnsi="宋体" w:eastAsia="宋体" w:cstheme="minorEastAsia"/>
          <w:sz w:val="24"/>
          <w:vertAlign w:val="superscript"/>
        </w:rPr>
        <w:t>[2]</w:t>
      </w:r>
      <w:r>
        <w:rPr>
          <w:rFonts w:hint="eastAsia" w:ascii="宋体" w:hAnsi="宋体" w:eastAsia="宋体" w:cstheme="minorEastAsia"/>
          <w:sz w:val="24"/>
        </w:rPr>
        <w:t>等。第二类是基于Web端的在线社交会议会展平台，如Mozilia hubs</w:t>
      </w:r>
      <w:r>
        <w:rPr>
          <w:rFonts w:ascii="宋体" w:hAnsi="宋体" w:eastAsia="宋体" w:cstheme="minorEastAsia"/>
          <w:sz w:val="24"/>
          <w:vertAlign w:val="superscript"/>
        </w:rPr>
        <w:t>[3]</w:t>
      </w:r>
      <w:r>
        <w:rPr>
          <w:rFonts w:hint="eastAsia" w:ascii="宋体" w:hAnsi="宋体" w:eastAsia="宋体" w:cstheme="minorEastAsia"/>
          <w:sz w:val="24"/>
        </w:rPr>
        <w:t>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VSWork是国内的一款VR虚拟会议系统，用户可拥有可自定义的虚拟角色，其虚拟角色可以通过手动、照片扫描或3D扫描进行建模，用户可以通过虚拟角色在房间中进行移动或操控场景中的物体。即使对VR不熟悉的用户，也可以借助管理员的控制对场景进行浏览，而无需自己操作。同时，VSWORK的全部内容都采用云端部署，终端设备的本地负担很小，同时不同客户的内容都对应独立的服务器，以保证其文件与信息的安全性与私密性。此外，VSWORK的开发者版针对有开发能力的客户或第三方开发者开放SDK，开发者可以根据VSWORK的SDK开发满足其客户需求的技术方案。而Engage由VR教育公司IVRE开发，它支持与会者进行一对一的社交互动，并能提供高清的视觉效果及大型活动所需的管理工具，并且具有可扩展的后端来支持全球观众的实时需求。同时，其支持VR设备的同时也可在PC端使用。HTC与IVRE建立了战略合作伙伴关系，HTC将在全球范围内发行该平台，共同推广XR办公的新模式。上述两个系统全部是采用Unity进行开发，较为重量级；发布模式仍是PC端运行的可执行程序，用户使用门槛较高；支持有限度的互动与远程协助，在会议本身的体验上相对于传统的会议系统有较大的差距；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Mozilla hubs是运行在浏览器中的虚拟协作平台，无需安装其他插件，通过链接邀请他人进入自创的虚拟空间中进行相关的交互操作，并提供对VR设备的支持。可用于主持会议、在线教育等领域。其拥有的化身定制、场景定制是其非常具有特色的功能，场景定制中提供了高自由度的交互方式，支持用户自由上传模型，调整角度等操作，总的来说，相较于前面介绍的两个系统，Mozilla hubs具有更加轻量级、用户交互操作更多等特点，但是在某些场景的美观性和精度、加载速度上仍不及基于PC的系统。</w:t>
      </w:r>
    </w:p>
    <w:p>
      <w:pPr>
        <w:rPr>
          <w:highlight w:val="yellow"/>
        </w:rPr>
      </w:pPr>
    </w:p>
    <w:p/>
    <w:p>
      <w:r>
        <w:rPr>
          <w:rFonts w:hint="eastAsia"/>
        </w:rPr>
        <w:t>LOD技术：</w:t>
      </w: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  <w:r>
        <w:rPr>
          <w:rFonts w:hint="eastAsia" w:ascii="Arial" w:hAnsi="Arial" w:eastAsia="宋体" w:cs="Arial"/>
          <w:color w:val="333333"/>
          <w:sz w:val="16"/>
          <w:szCs w:val="16"/>
          <w:shd w:val="clear" w:color="auto" w:fill="FFFFFF"/>
        </w:rPr>
        <w:t>LOD技术即Levels of Detail的简称，意为多细节层次。LOD技术指根据物体模型的</w: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begin"/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instrText xml:space="preserve"> HYPERLINK "https://baike.baidu.com/item/%E8%8A%82%E7%82%B9/865052" \t "https://baike.baidu.com/item/LOD/_blank" </w:instrTex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separate"/>
      </w:r>
      <w:r>
        <w:rPr>
          <w:rStyle w:val="5"/>
          <w:rFonts w:ascii="Arial" w:hAnsi="Arial" w:eastAsia="宋体" w:cs="Arial"/>
          <w:color w:val="136EC2"/>
          <w:sz w:val="16"/>
          <w:szCs w:val="16"/>
          <w:u w:val="none"/>
          <w:shd w:val="clear" w:color="auto" w:fill="FFFFFF"/>
        </w:rPr>
        <w:t>节点</w:t>
      </w:r>
      <w:r>
        <w:rPr>
          <w:rFonts w:ascii="Arial" w:hAnsi="Arial" w:eastAsia="宋体" w:cs="Arial"/>
          <w:color w:val="136EC2"/>
          <w:sz w:val="16"/>
          <w:szCs w:val="16"/>
          <w:shd w:val="clear" w:color="auto" w:fill="FFFFFF"/>
        </w:rPr>
        <w:fldChar w:fldCharType="end"/>
      </w:r>
      <w: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  <w:t>在显示环境中所处的位置和重要度，决定物体渲染的资源分配，降低非重要物体的面数和细节度，从而获得高效率的渲染运算。</w:t>
      </w: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</w:p>
    <w:p>
      <w:pPr>
        <w:rPr>
          <w:rFonts w:ascii="Arial" w:hAnsi="Arial" w:eastAsia="宋体" w:cs="Arial"/>
          <w:color w:val="333333"/>
          <w:sz w:val="16"/>
          <w:szCs w:val="16"/>
          <w:shd w:val="clear" w:color="auto" w:fill="FFFFFF"/>
        </w:rPr>
      </w:pPr>
      <w:r>
        <w:rPr>
          <w:rFonts w:hint="eastAsia" w:ascii="Arial" w:hAnsi="Arial" w:eastAsia="宋体" w:cs="Arial"/>
          <w:color w:val="333333"/>
          <w:sz w:val="16"/>
          <w:szCs w:val="16"/>
          <w:shd w:val="clear" w:color="auto" w:fill="FFFFFF"/>
        </w:rPr>
        <w:t>实例化渲染：</w:t>
      </w:r>
    </w:p>
    <w:p>
      <w:pP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</w:pPr>
      <w: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  <w:t>实例化（instancing）或者多实例渲染（instanced rendering）是一种连续执行多条相同的渲染命令的方法，并且每个渲染命令所产生的结果都会有轻微的差异。这是一种非常有效的，使用少量API调用来渲染大量几何体的方法。</w:t>
      </w:r>
    </w:p>
    <w:p>
      <w:pPr>
        <w:rPr>
          <w:rFonts w:ascii="Segoe UI" w:hAnsi="Segoe UI" w:eastAsia="Segoe UI" w:cs="Segoe UI"/>
          <w:color w:val="24292E"/>
          <w:sz w:val="16"/>
          <w:szCs w:val="16"/>
          <w:shd w:val="clear" w:color="auto" w:fill="FFFFFF"/>
        </w:rPr>
      </w:pPr>
    </w:p>
    <w:p>
      <w:pPr>
        <w:rPr>
          <w:rFonts w:ascii="Segoe UI" w:hAnsi="Segoe UI" w:eastAsia="宋体" w:cs="Segoe UI"/>
          <w:color w:val="24292E"/>
          <w:sz w:val="16"/>
          <w:szCs w:val="16"/>
          <w:shd w:val="clear" w:color="auto" w:fill="FFFFFF"/>
        </w:rPr>
      </w:pPr>
      <w:r>
        <w:rPr>
          <w:rFonts w:hint="eastAsia" w:ascii="Segoe UI" w:hAnsi="Segoe UI" w:eastAsia="宋体" w:cs="Segoe UI"/>
          <w:color w:val="24292E"/>
          <w:sz w:val="16"/>
          <w:szCs w:val="16"/>
          <w:shd w:val="clear" w:color="auto" w:fill="FFFFFF"/>
        </w:rPr>
        <w:t>PM 渐进式网格：</w:t>
      </w:r>
    </w:p>
    <w:p>
      <w:pPr>
        <w:rPr>
          <w:rFonts w:ascii="Segoe UI" w:hAnsi="Segoe UI" w:eastAsia="宋体" w:cs="Segoe UI"/>
          <w:color w:val="24292E"/>
          <w:sz w:val="16"/>
          <w:szCs w:val="16"/>
          <w:shd w:val="clear" w:color="auto" w:fill="FFFFFF"/>
        </w:rPr>
      </w:pPr>
      <w:r>
        <w:rPr>
          <w:rFonts w:ascii="sans-serif" w:hAnsi="sans-serif" w:eastAsia="sans-serif" w:cs="sans-serif"/>
          <w:b/>
          <w:color w:val="202122"/>
          <w:sz w:val="16"/>
          <w:szCs w:val="16"/>
          <w:shd w:val="clear" w:color="auto" w:fill="FFFFFF"/>
        </w:rPr>
        <w:t>渐进式网格</w:t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是动态</w:t>
      </w:r>
      <w:r>
        <w:fldChar w:fldCharType="begin"/>
      </w:r>
      <w:r>
        <w:instrText xml:space="preserve"> HYPERLINK "https://en.wikipedia.org/wiki/Level_of_detail_(computer_graphics)" \o "详细程度（计算机图形学）" </w:instrText>
      </w:r>
      <w:r>
        <w:fldChar w:fldCharType="separate"/>
      </w:r>
      <w:r>
        <w:rPr>
          <w:rStyle w:val="5"/>
          <w:rFonts w:ascii="sans-serif" w:hAnsi="sans-serif" w:eastAsia="sans-serif" w:cs="sans-serif"/>
          <w:color w:val="0645AD"/>
          <w:sz w:val="16"/>
          <w:szCs w:val="16"/>
          <w:u w:val="none"/>
          <w:shd w:val="clear" w:color="auto" w:fill="FFFFFF"/>
        </w:rPr>
        <w:t>细节级别</w:t>
      </w:r>
      <w:r>
        <w:rPr>
          <w:rStyle w:val="5"/>
          <w:rFonts w:ascii="sans-serif" w:hAnsi="sans-serif" w:eastAsia="sans-serif" w:cs="sans-serif"/>
          <w:color w:val="0645AD"/>
          <w:sz w:val="16"/>
          <w:szCs w:val="16"/>
          <w:u w:val="none"/>
          <w:shd w:val="clear" w:color="auto" w:fill="FFFFFF"/>
        </w:rPr>
        <w:fldChar w:fldCharType="end"/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的技术之一。此技术由Hugues Hoppe于1996年引入</w:t>
      </w:r>
      <w:r>
        <w:rPr>
          <w:rFonts w:hint="eastAsia" w:ascii="sans-serif" w:hAnsi="sans-serif" w:eastAsia="宋体" w:cs="sans-serif"/>
          <w:color w:val="202122"/>
          <w:sz w:val="16"/>
          <w:szCs w:val="16"/>
          <w:shd w:val="clear" w:color="auto" w:fill="FFFFFF"/>
        </w:rPr>
        <w:t>，</w:t>
      </w:r>
      <w:r>
        <w:rPr>
          <w:rFonts w:ascii="sans-serif" w:hAnsi="sans-serif" w:eastAsia="sans-serif" w:cs="sans-serif"/>
          <w:color w:val="202122"/>
          <w:sz w:val="16"/>
          <w:szCs w:val="16"/>
          <w:shd w:val="clear" w:color="auto" w:fill="FFFFFF"/>
        </w:rPr>
        <w:t>该方法使用将模型保存到结构中的渐进网格，该网格允许根据当前视图平滑选择细节级别。实际上，这意味着可以一次显示最低细节级别的整个模型，然后逐渐显示更多细节。缺点之一是相当大的内存消耗。优点是它可以实时工作。渐进式网格也可以用在计算机技术的其他领域，例如通过Internet或压缩逐步传输数据。</w:t>
      </w:r>
    </w:p>
    <w:p>
      <w:pPr>
        <w:rPr>
          <w:rFonts w:hint="eastAsia" w:ascii="Segoe UI" w:hAnsi="Segoe UI" w:eastAsia="Segoe UI" w:cs="Segoe UI"/>
          <w:i w:val="0"/>
          <w:caps w:val="0"/>
          <w:color w:val="24292E"/>
          <w:spacing w:val="0"/>
          <w:sz w:val="16"/>
          <w:szCs w:val="16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总体技术路线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志成和恩旸在这里补充一个技术路线图（突出几大关键技术），尝试画一下（用ppt来画图），大家一起来补充完善。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轻量化处理</w:t>
      </w:r>
      <w:r>
        <w:rPr>
          <w:rFonts w:hint="eastAsia"/>
          <w:lang w:val="en-US" w:eastAsia="zh-CN"/>
        </w:rPr>
        <w:t>的核心是资源重用，我们使用该技术必须首先明白哪些资源是可重用的，并且尽可以提高资源的重用度。另外为了效果要保留丰富的多样性，参数化调整每个对象，另外可以通过对不同资源进行搭配组合来提高多样性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将模型划分为多个区域（在这个问题中是划分了头部、上身、下身三个区域），每个区域可以匹配不同贴图（在这个问题中使用了男性32套贴图，女性16套贴图），这样就可以通过不同贴图搭配各种效果（男性有32^3=32768种组合，女性有16^3=4086种组合，共36864种组合）。另外，可以通过对人物对象的高矮胖瘦进行设置，还可以对对象的色调进行编辑（这个问题中主要是对下身的裤子颜色进行设置），在骨骼动画方面，可以为每个人物对象设置不同的动画播放速度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5425" cy="3547745"/>
            <wp:effectExtent l="0" t="0" r="3175" b="8255"/>
            <wp:docPr id="6" name="图片 6" descr="轻量化处理策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轻量化处理策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   不同3D资源的轻量化处理思路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720465"/>
            <wp:effectExtent l="0" t="0" r="6985" b="635"/>
            <wp:docPr id="10" name="图片 10" descr="人群处理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人群处理2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   大规模人群的</w:t>
      </w:r>
      <w:r>
        <w:rPr>
          <w:rFonts w:hint="eastAsia"/>
          <w:lang w:val="en-US" w:eastAsia="zh-CN"/>
        </w:rPr>
        <w:t>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关键技术之一：</w:t>
      </w:r>
      <w:r>
        <w:rPr>
          <w:rFonts w:hint="eastAsia"/>
          <w:b/>
          <w:bCs/>
        </w:rPr>
        <w:t>大规模</w:t>
      </w:r>
      <w:r>
        <w:rPr>
          <w:rFonts w:hint="eastAsia"/>
          <w:b/>
          <w:bCs/>
          <w:lang w:val="en-US" w:eastAsia="zh-CN"/>
        </w:rPr>
        <w:t>会议情境</w:t>
      </w:r>
      <w:r>
        <w:rPr>
          <w:rFonts w:hint="eastAsia"/>
          <w:b/>
          <w:bCs/>
        </w:rPr>
        <w:t>的轻量化</w:t>
      </w:r>
      <w:r>
        <w:rPr>
          <w:rFonts w:hint="eastAsia"/>
          <w:b/>
          <w:bCs/>
          <w:lang w:val="en-US" w:eastAsia="zh-CN"/>
        </w:rPr>
        <w:t>预处理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志成写一段引文</w:t>
      </w:r>
    </w:p>
    <w:p>
      <w:r>
        <w:drawing>
          <wp:inline distT="0" distB="0" distL="114300" distR="114300">
            <wp:extent cx="5274310" cy="3679190"/>
            <wp:effectExtent l="0" t="0" r="889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   </w:t>
      </w:r>
      <w:r>
        <w:rPr>
          <w:rFonts w:hint="eastAsia"/>
          <w:lang w:val="en-US" w:eastAsia="zh-CN"/>
        </w:rPr>
        <w:t>由</w:t>
      </w:r>
      <w:r>
        <w:rPr>
          <w:rFonts w:hint="eastAsia"/>
          <w:lang w:eastAsia="zh-CN"/>
        </w:rPr>
        <w:t>多个小部件组合成的</w:t>
      </w:r>
      <w:r>
        <w:rPr>
          <w:rFonts w:hint="eastAsia"/>
          <w:lang w:val="en-US" w:eastAsia="zh-CN"/>
        </w:rPr>
        <w:t>复合</w:t>
      </w:r>
      <w:r>
        <w:rPr>
          <w:rFonts w:hint="eastAsia"/>
          <w:lang w:eastAsia="zh-CN"/>
        </w:rPr>
        <w:t>模型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轻量化处理</w:t>
      </w:r>
      <w:r>
        <w:rPr>
          <w:rFonts w:hint="eastAsia"/>
          <w:lang w:val="en-US" w:eastAsia="zh-CN"/>
        </w:rPr>
        <w:t>思路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>静态会场场景的轻量化预处理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志成完善下列文字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大规模</w:t>
      </w:r>
      <w:r>
        <w:rPr>
          <w:rFonts w:hint="eastAsia"/>
        </w:rPr>
        <w:t>人群</w:t>
      </w:r>
      <w:r>
        <w:rPr>
          <w:rFonts w:hint="eastAsia"/>
          <w:lang w:val="en-US" w:eastAsia="zh-CN"/>
        </w:rPr>
        <w:t>渲染需要存储的信息可以分为三级。第一级，所有对象都共用的数据，如模型的网格信息（网格点位置，UV等信息）；第二级，选择性使用的数据（如纹理贴图），这类数据每个对象只需要其中的一部分数据（如模型贴图有多套可供选择，但每个对象只使用其中的一套）；第二级，描述对象的参数信息（如，贴图类型，动画播放速度，高矮胖瘦，色调），这些信息每个对象都可以不同，所以每个对象的这些参数信息都要单独存放。</w:t>
      </w:r>
    </w:p>
    <w:p>
      <w:r>
        <w:drawing>
          <wp:inline distT="0" distB="0" distL="114300" distR="114300">
            <wp:extent cx="5274310" cy="3959860"/>
            <wp:effectExtent l="0" t="0" r="889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   高精度模型处理（PM+LOD）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>大规模参会人群的轻量化预处理（参考朴雪论文中相关内容）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highlight w:val="yellow"/>
          <w:lang w:val="en-US" w:eastAsia="zh-CN"/>
        </w:rPr>
        <w:t>志成/恩旸完善这部分文字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1450" cy="2691130"/>
            <wp:effectExtent l="0" t="0" r="6350" b="1270"/>
            <wp:docPr id="3" name="图片 3" descr="实例化渲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实例化渲染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   大规模人群轻量化处理技术的运用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在项目中我们只需要实现听众鼓掌的动作，这个动作只涉及到手臂的8个骨骼，其它的17个骨骼的状态没有发生变化，所以首先可以将骨骼数据分成两部分，手臂处骨骼和固定动作的骨骼。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748030" cy="1689735"/>
            <wp:effectExtent l="0" t="0" r="1270" b="12065"/>
            <wp:docPr id="1" name="图片 1" descr="骨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骨骼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0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00" w:firstLineChars="20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   人物模型骨骼结构的分析（</w:t>
      </w:r>
      <w:r>
        <w:rPr>
          <w:rFonts w:hint="eastAsia"/>
          <w:lang w:val="en-US" w:eastAsia="zh-CN"/>
        </w:rPr>
        <w:t>未完成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个骨骼的变换矩阵因为最后一行是固定值，所以一个变换矩阵只需要存储12个float数据。有17个骨骼在动画播放的过程中的状态没有发生变化，所以这可以提前计算好这17*12=204个数据。涉及到手臂的8个骨骼，由于我们在项目中只需要实现鼓掌这个简单的动作，经过测试使用16帧就可以获得比较好的动画效果，这是16帧的鼓掌动画中后8帧可以看作前8帧的倒放，所以我们只需要8个骨骼8帧分别的变换矩阵，这8个骨骼需要的数据量为8*8*12=768。将这些数据在预处理阶段直接计算好可以减少在客户端的计算量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关键技术之二：细粒度化渐进式传输调度（参考李柯论文相关内容）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5.1轻量化缓存管理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志成这一块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将场景中需要的数据细化拆分，相同部件只传输一次。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分级传输，提高初始加载速度。人物贴图进行了多细节层次处理，先传输低像素的纹理贴图，再传输高像素的贴图。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5.2基于兴趣度的细粒度化在线打包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highlight w:val="yellow"/>
          <w:lang w:val="en-US" w:eastAsia="zh-CN"/>
        </w:rPr>
        <w:t>志成写这一块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5.3 带宽自适应的渐进式传输调度</w:t>
      </w:r>
    </w:p>
    <w:p>
      <w:pPr>
        <w:ind w:firstLine="420" w:firstLineChars="20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志成写这一块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为了确保复用的人物对象资源不被重复存储，需要将场景中的人群统一管理，我们用JS设计了以一个对象来管理整个的人群。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提高渲染效率，所有的人物在渲染时作为一个整体，一次性将人群所需的全部数据输入着色器。这就需要我们管理好每个人的所有参数信息（位置，大小，贴图类型，等等），渲染时一次性将这些信息传入shader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 轻量级大规模会议场景在线渲染</w:t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志成完成这一块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骨骼动画数据的输入格式是32的float浮点数，经过测试发现骨骼动画数据实际上并不需要这么高的精度，所以我们设计了一种16位的浮点数格式，这样就使得传入着色器的骨骼数据量减少了一半。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项目中</w:t>
      </w:r>
      <w:r>
        <w:rPr>
          <w:rFonts w:hint="default"/>
          <w:lang w:val="en-US" w:eastAsia="zh-CN"/>
        </w:rPr>
        <w:t>人物的贴图左右对称，所以可以只传入</w:t>
      </w:r>
      <w:r>
        <w:rPr>
          <w:rFonts w:hint="eastAsia"/>
          <w:lang w:val="en-US" w:eastAsia="zh-CN"/>
        </w:rPr>
        <w:t>着色器</w:t>
      </w:r>
      <w:r>
        <w:rPr>
          <w:rFonts w:hint="default"/>
          <w:lang w:val="en-US" w:eastAsia="zh-CN"/>
        </w:rPr>
        <w:t>左半部分贴图，这样</w:t>
      </w:r>
      <w:r>
        <w:rPr>
          <w:rFonts w:hint="eastAsia"/>
          <w:lang w:val="en-US" w:eastAsia="zh-CN"/>
        </w:rPr>
        <w:t>传入着色器的</w:t>
      </w:r>
      <w:r>
        <w:rPr>
          <w:rFonts w:hint="default"/>
          <w:lang w:val="en-US" w:eastAsia="zh-CN"/>
        </w:rPr>
        <w:t>贴图数据量</w:t>
      </w:r>
      <w:r>
        <w:rPr>
          <w:rFonts w:hint="eastAsia"/>
          <w:lang w:val="en-US" w:eastAsia="zh-CN"/>
        </w:rPr>
        <w:t>就</w:t>
      </w:r>
      <w:r>
        <w:rPr>
          <w:rFonts w:hint="default"/>
          <w:lang w:val="en-US" w:eastAsia="zh-CN"/>
        </w:rPr>
        <w:t>减少了一半。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6988810"/>
            <wp:effectExtent l="0" t="0" r="7620" b="8890"/>
            <wp:docPr id="7" name="图片 7" descr="顶点着色器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顶点着色器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   顶点着色器</w:t>
      </w:r>
      <w:r>
        <w:rPr>
          <w:rFonts w:hint="eastAsia"/>
          <w:lang w:val="en-US" w:eastAsia="zh-CN"/>
        </w:rPr>
        <w:t>的优化处理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10940" cy="3060700"/>
            <wp:effectExtent l="0" t="0" r="10160" b="0"/>
            <wp:docPr id="8" name="图片 8" descr="顶点着色器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顶点着色器 (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   片元着色器的优化处理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5.实验结果与性能分析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22520" cy="3685540"/>
            <wp:effectExtent l="0" t="0" r="5080" b="10160"/>
            <wp:docPr id="9" name="图片 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ntitl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   人群的轻量化处理技术在项目中的效果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094865"/>
            <wp:effectExtent l="0" t="0" r="11430" b="635"/>
            <wp:docPr id="11" name="图片 1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无标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   大规模人群</w:t>
      </w:r>
      <w:r>
        <w:rPr>
          <w:rFonts w:hint="eastAsia"/>
          <w:lang w:val="en-US" w:eastAsia="zh-CN"/>
        </w:rPr>
        <w:t>的轻量化</w:t>
      </w:r>
      <w:r>
        <w:rPr>
          <w:rFonts w:hint="eastAsia"/>
          <w:lang w:eastAsia="zh-CN"/>
        </w:rPr>
        <w:t>处理</w:t>
      </w:r>
      <w:r>
        <w:rPr>
          <w:rFonts w:hint="eastAsia"/>
          <w:lang w:val="en-US" w:eastAsia="zh-CN"/>
        </w:rPr>
        <w:t>的效果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</w:t>
      </w:r>
      <w:bookmarkStart w:id="0" w:name="_GoBack"/>
      <w:bookmarkEnd w:id="0"/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志成/恩旸搞这一块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Reference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</w:pPr>
      <w:r>
        <w:rPr>
          <w:rFonts w:hint="eastAsia"/>
        </w:rPr>
        <w:t>Reference</w:t>
      </w:r>
    </w:p>
    <w:p>
      <w:r>
        <w:t>[</w:t>
      </w:r>
      <w:r>
        <w:rPr>
          <w:rFonts w:hint="eastAsia"/>
        </w:rPr>
        <w:t>1</w:t>
      </w:r>
      <w:r>
        <w:t>] VSWORK</w:t>
      </w:r>
      <w:r>
        <w:rPr>
          <w:rFonts w:hint="eastAsia"/>
        </w:rPr>
        <w:t>虚拟空间</w:t>
      </w:r>
      <w:r>
        <w:t xml:space="preserve">[EB/OL] </w:t>
      </w:r>
      <w:r>
        <w:fldChar w:fldCharType="begin"/>
      </w:r>
      <w:r>
        <w:instrText xml:space="preserve"> HYPERLINK "http://www.vswork.com/" </w:instrText>
      </w:r>
      <w:r>
        <w:fldChar w:fldCharType="separate"/>
      </w:r>
      <w:r>
        <w:rPr>
          <w:rStyle w:val="5"/>
        </w:rPr>
        <w:t>http://www.vswork.com/</w:t>
      </w:r>
      <w:r>
        <w:rPr>
          <w:rStyle w:val="5"/>
        </w:rPr>
        <w:fldChar w:fldCharType="end"/>
      </w:r>
    </w:p>
    <w:p>
      <w:pPr>
        <w:jc w:val="left"/>
        <w:rPr>
          <w:rFonts w:hint="eastAsia"/>
        </w:rPr>
      </w:pPr>
      <w:r>
        <w:t>[</w:t>
      </w:r>
      <w:r>
        <w:rPr>
          <w:rFonts w:hint="eastAsia"/>
        </w:rPr>
        <w:t>2</w:t>
      </w:r>
      <w:r>
        <w:t>] ENGAGE Virtual Reality Education &amp; Corporate Training. VR Education Holdings PLC [EB/OL] https://engagevr.io/</w:t>
      </w:r>
    </w:p>
    <w:p>
      <w:r>
        <w:rPr>
          <w:rFonts w:hint="eastAsia"/>
        </w:rPr>
        <w:t>[3</w:t>
      </w:r>
      <w:r>
        <w:t xml:space="preserve">] Mozilla Hubs [EB/OL] </w:t>
      </w:r>
      <w:r>
        <w:fldChar w:fldCharType="begin"/>
      </w:r>
      <w:r>
        <w:instrText xml:space="preserve"> HYPERLINK "https://hubs.mozilla.com/" </w:instrText>
      </w:r>
      <w:r>
        <w:fldChar w:fldCharType="separate"/>
      </w:r>
      <w:r>
        <w:rPr>
          <w:rStyle w:val="5"/>
        </w:rPr>
        <w:t>https://hubs.mozilla.com/</w:t>
      </w:r>
      <w:r>
        <w:rPr>
          <w:rStyle w:val="5"/>
        </w:rPr>
        <w:fldChar w:fldCharType="end"/>
      </w:r>
    </w:p>
    <w:p>
      <w:pPr>
        <w:rPr>
          <w:rFonts w:hint="eastAsia"/>
        </w:rPr>
      </w:pPr>
      <w:r>
        <w:t>[</w:t>
      </w:r>
      <w:r>
        <w:rPr>
          <w:rFonts w:hint="eastAsia"/>
        </w:rPr>
        <w:t>4</w:t>
      </w:r>
      <w:r>
        <w:t>]</w:t>
      </w:r>
      <w:r>
        <w:rPr>
          <w:rFonts w:hint="eastAsia"/>
        </w:rPr>
        <w:t>Xiaojun Liu, Ning Xie, Kai Tang, Jinyuan Jia. “Lightweight for Web3D Visualization of Large-scale BIM Scenes in Real-time”. Graphical Models, vol. 88, pp. 40-56, November，2016.</w:t>
      </w:r>
    </w:p>
    <w:p>
      <w:r>
        <w:t>[</w:t>
      </w:r>
      <w:r>
        <w:rPr>
          <w:rFonts w:hint="eastAsia"/>
        </w:rPr>
        <w:t>5</w:t>
      </w:r>
      <w:r>
        <w:t>] Laixiang Wen, Ning. Xie, and Jinyuan. Jia. “Fast accessing Web3D contents using lightweight progressive meshes”. Computer Animation and Virtual Worlds. 27(5): 466-483, May, 2016.</w:t>
      </w:r>
    </w:p>
    <w:p>
      <w:r>
        <w:t>[</w:t>
      </w:r>
      <w:r>
        <w:rPr>
          <w:rFonts w:hint="eastAsia"/>
        </w:rPr>
        <w:t>6</w:t>
      </w:r>
      <w:r>
        <w:t>] Xue Piao, Yang Li, Kang Xie, Hantao Zhao and Jinyuan Jia. Towards Web3D-based Lightweight Crowd Evacuation Simulation. ACM Web3D, Nov. 13-15, 2020.</w:t>
      </w:r>
    </w:p>
    <w:p>
      <w:r>
        <w:t>[</w:t>
      </w:r>
      <w:r>
        <w:rPr>
          <w:rFonts w:hint="eastAsia"/>
        </w:rPr>
        <w:t>7</w:t>
      </w:r>
      <w:r>
        <w:t>]Ke Li, Qian Zhang, Hantao Zhao and Jinyuan Jia. User Interests Driven Collaborative Cloud-Edge-Browser Architecture for WebBIM Visualization. ACM Web3D, Nov. 13-15, 2020.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A1F5B6"/>
    <w:multiLevelType w:val="singleLevel"/>
    <w:tmpl w:val="8AA1F5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6306211"/>
    <w:multiLevelType w:val="singleLevel"/>
    <w:tmpl w:val="16306211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7A83340"/>
    <w:multiLevelType w:val="singleLevel"/>
    <w:tmpl w:val="37A83340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0BE9F40"/>
    <w:multiLevelType w:val="singleLevel"/>
    <w:tmpl w:val="50BE9F4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59EEE24"/>
    <w:multiLevelType w:val="singleLevel"/>
    <w:tmpl w:val="659EEE24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1566"/>
    <w:rsid w:val="128F5E85"/>
    <w:rsid w:val="17C67BDB"/>
    <w:rsid w:val="1CAD3072"/>
    <w:rsid w:val="1F541F46"/>
    <w:rsid w:val="22A43607"/>
    <w:rsid w:val="28265449"/>
    <w:rsid w:val="2B7F0F4B"/>
    <w:rsid w:val="2D6D5584"/>
    <w:rsid w:val="2EB05A93"/>
    <w:rsid w:val="405D0F1A"/>
    <w:rsid w:val="43B66EB3"/>
    <w:rsid w:val="43BA1321"/>
    <w:rsid w:val="44094EAA"/>
    <w:rsid w:val="456B31C3"/>
    <w:rsid w:val="45F23A0E"/>
    <w:rsid w:val="4AB472A2"/>
    <w:rsid w:val="4D6E7AD8"/>
    <w:rsid w:val="4E044C2B"/>
    <w:rsid w:val="4F780638"/>
    <w:rsid w:val="510D0B40"/>
    <w:rsid w:val="51B64559"/>
    <w:rsid w:val="572C4429"/>
    <w:rsid w:val="5CC37C15"/>
    <w:rsid w:val="69A61CC1"/>
    <w:rsid w:val="6E7E4E75"/>
    <w:rsid w:val="7C5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2021-01-30T11:06:00Z</dcterms:created>
  <dc:creator>28142</dc:creator>
  <cp:lastModifiedBy>大橙子</cp:lastModifiedBy>
  <dcterms:modified xsi:type="dcterms:W3CDTF">2021-02-05T04:28:13Z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