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Annual Credit Review</w:t>
      </w:r>
    </w:p>
    <w:p>
      <w:r>
        <w:t>{{anchor:ANNUAL_REVIEW_BODY}}</w:t>
      </w:r>
    </w:p>
    <w:p>
      <w:pPr>
        <w:sectPr>
          <w:type w:val="nextPage"/>
          <w:pgNumType w:start="1"/>
        </w:sectPr>
      </w:pPr>
    </w:p>
    <w:p>
      <w:pPr>
        <w:jc w:val="center"/>
      </w:pPr>
      <w:r>
        <w:rPr>
          <w:b w:val="on"/>
          <w:sz w:val="28"/>
        </w:rPr>
        <w:t>Schedule</w:t>
      </w:r>
    </w:p>
    <w:p>
      <w:r>
        <w:t>{{anchor:ANNUAL_REVIEW_SCHEDULE}}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Confidential — For authorised recipients only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Corporate Banking — Relationship Management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2026-07-03T19:24:51Z</dcterms:created>
  <dc:creator>Apache POI</dc:creator>
</cp:coreProperties>
</file>