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Overdue Payment Collection Notice</w:t>
      </w:r>
    </w:p>
    <w:p>
      <w:r>
        <w:t>{{anchor:OVERDUE_COLLECTION_BODY}}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Regulatory collection notice — FCA CONC principles apply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Retail Banking — Collections &amp; Recoveries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2026-07-03T19:24:54Z</dcterms:created>
  <dc:creator>Apache POI</dc:creator>
</cp:coreProperties>
</file>