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Confirmation</w:t>
      </w:r>
    </w:p>
    <w:p>
      <w:r>
        <w:t>{{anchor:FRN_PARTIES}}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Renewal Confirmation</w:t>
      </w:r>
    </w:p>
    <w:p>
      <w:r>
        <w:t>{{anchor:FRN_RENEWAL_CONFIRM}}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Renewed Terms</w:t>
      </w:r>
    </w:p>
    <w:p>
      <w:r>
        <w:t>{{anchor:FRN_RENEWED_TERMS}}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Financial Covenants</w:t>
      </w:r>
    </w:p>
    <w:p>
      <w:r>
        <w:t>{{anchor:FRN_COVENANTS}}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Conditions Precedent</w:t>
      </w:r>
    </w:p>
    <w:p>
      <w:r>
        <w:t>{{anchor:FRN_CONDITIONS}}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KYC and AML Requirements</w:t>
      </w:r>
    </w:p>
    <w:p>
      <w:r>
        <w:t>{{anchor:FRN_KYC}}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 Schedule</w:t>
      </w:r>
    </w:p>
    <w:p>
      <w:r>
        <w:t>{{anchor:FRN_SCHEDULE}}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{{anchor:FRN_GOVERNING_LAW}}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{{anchor:FRN_SIGNATURE}}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2026-07-23T18:45:39Z</dcterms:created>
  <dc:creator>Apache POI</dc:creator>
</cp:coreProperties>
</file>