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Formal Demand Letter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{{anchor:FD_PARTIES}}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 and Default</w:t>
      </w:r>
    </w:p>
    <w:p>
      <w:r>
        <w:t>{{anchor:FD_DEFINED_TERMS}}</w:t>
      </w:r>
    </w:p>
    <w:p>
      <w:r>
        <w:t>{{anchor:FD_DEFAULT}}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Demand and Reservation</w:t>
      </w:r>
    </w:p>
    <w:p>
      <w:r>
        <w:t>{{anchor:FD_DEMAND}}</w:t>
      </w:r>
    </w:p>
    <w:p>
      <w:r>
        <w:t>{{anchor:FD_RESERVATION}}</w:t>
      </w:r>
    </w:p>
    <w:p>
      <w:r>
        <w:t>{{anchor:FD_SCHEDULE}}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{{anchor:FD_GOVERNING_LAW}}</w:t>
      </w:r>
    </w:p>
    <w:p>
      <w:r>
        <w:t>{{anchor:FD_SIGNATURE}}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Special Assets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2026-07-26T18:17:28Z</dcterms:created>
  <dc:creator>Apache POI</dc:creator>
</cp:coreProperties>
</file>