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Facility Renewal Letter</w:t>
      </w:r>
    </w:p>
    <w:p>
      <w:r>
        <w:t>{{anchor:FACILITY_RENEWAL_BODY}}</w:t>
      </w:r>
    </w:p>
    <w:p>
      <w:pPr>
        <w:sectPr>
          <w:type w:val="nextPage"/>
          <w:pgNumType w:start="1"/>
        </w:sectPr>
      </w:pPr>
    </w:p>
    <w:p>
      <w:pPr>
        <w:jc w:val="center"/>
      </w:pPr>
      <w:r>
        <w:rPr>
          <w:b w:val="on"/>
          <w:sz w:val="28"/>
        </w:rPr>
        <w:t>Schedule</w:t>
      </w:r>
    </w:p>
    <w:p>
      <w:r>
        <w:t>{{anchor:FACILITY_RENEWAL_TERMS}}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Confidential — For authorised recipients only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Corporate Banking — Relationship Management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2026-07-03T19:24:51Z</dcterms:created>
  <dc:creator>Apache POI</dc:creator>
</cp:coreProperties>
</file>