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Notice of Rate Change</w:t>
      </w:r>
    </w:p>
    <w:p>
      <w:r>
        <w:t>{{anchor:RCN_PARTIES}}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Rate Variation Notice</w:t>
      </w:r>
    </w:p>
    <w:p>
      <w:r>
        <w:t>{{anchor:RCN_RATE_NOTICE}}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{{anchor:RCN_REGULATORY}}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Right to Switch</w:t>
      </w:r>
    </w:p>
    <w:p>
      <w:r>
        <w:t>{{anchor:RCN_RIGHT_TO_SWITCH}}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Interest Calculation</w:t>
      </w:r>
    </w:p>
    <w:p>
      <w:r>
        <w:t>{{anchor:RCN_INTEREST_CALC}}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Tax and Contact</w:t>
      </w:r>
    </w:p>
    <w:p>
      <w:r>
        <w:t>{{anchor:RCN_TAX_CONTACT}}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{{anchor:RCN_SIGNATURE}}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{{anchor:RCN_DISCLAIMER}}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Regulatory collection notice — FCA CONC principles apply | Meridian Retail Banking, PO Box 1200, London EC2N 1DB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Retail Banking — Collections &amp; Recoveries</w:t>
    </w:r>
  </w:p>
  <w:p>
    <w:pPr>
      <w:jc w:val="right"/>
    </w:pPr>
    <w:r>
      <w:rPr>
        <w:b w:val="on"/>
        <w:sz w:val="14"/>
        <w:color w:val="990000"/>
      </w:rPr>
      <w:t>IMPORTANT — PLEASE READ CAREFULLY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RegulatoryEmphasis">
    <w:name w:val="RegulatoryEmphasis"/>
    <w:qFormat/>
    <w:rPr>
      <w:sz w:val="20"/>
      <w:rFonts w:ascii="Calibri" w:hAnsi="Calibri" w:cs="Calibri" w:eastAsia="Calibri"/>
      <w:b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2026-07-19T20:50:22Z</dcterms:created>
  <dc:creator>Apache POI</dc:creator>
</cp:coreProperties>
</file>