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  <w:rFonts w:ascii="Calibri" w:hAnsi="Calibri" w:cs="Calibri" w:eastAsia="Calibri"/>
          <w:color w:val="003366"/>
        </w:rPr>
        <w:t>Meridian Global Banking Corporation</w:t>
      </w:r>
    </w:p>
    <w:p>
      <w:pPr>
        <w:jc w:val="center"/>
      </w:pPr>
      <w:r>
        <w:rPr>
          <w:b w:val="off"/>
          <w:sz w:val="22"/>
          <w:rFonts w:ascii="Calibri" w:hAnsi="Calibri" w:cs="Calibri" w:eastAsia="Calibri"/>
          <w:color w:val="333333"/>
        </w:rPr>
        <w:t>Wholesale &amp; International Banking</w:t>
      </w:r>
    </w:p>
    <w:p>
      <w:pPr>
        <w:jc w:val="center"/>
      </w:pPr>
      <w:r>
        <w:rPr>
          <w:b w:val="on"/>
          <w:sz w:val="28"/>
          <w:rFonts w:ascii="Calibri" w:hAnsi="Calibri" w:cs="Calibri" w:eastAsia="Calibri"/>
          <w:color w:val="000000"/>
        </w:rPr>
        <w:t>Facility Offer Letter — Term Loan Facility</w:t>
      </w:r>
    </w:p>
    <w:p>
      <w:pPr>
        <w:jc w:val="center"/>
      </w:pPr>
      <w:r>
        <w:rPr>
          <w:b w:val="on"/>
          <w:sz w:val="20"/>
          <w:rFonts w:ascii="Calibri" w:hAnsi="Calibri" w:cs="Calibri" w:eastAsia="Calibri"/>
          <w:color w:val="990000"/>
        </w:rPr>
        <w:t>(Confidential — Subject to Contract)</w:t>
      </w:r>
    </w:p>
    <w:p/>
    <w:p>
      <w:r>
        <w:rPr>
          <w:b w:val="on"/>
          <w:sz w:val="22"/>
          <w:rFonts w:ascii="Calibri" w:hAnsi="Calibri" w:cs="Calibri" w:eastAsia="Calibri"/>
        </w:rPr>
        <w:t>Letter Header</w:t>
      </w:r>
    </w:p>
    <w:p>
      <w:r>
        <w:t>{{anchor:FOL_HEADER}}</w:t>
      </w:r>
    </w:p>
    <w:p/>
    <w:p>
      <w:r>
        <w:rPr>
          <w:b w:val="on"/>
          <w:sz w:val="22"/>
          <w:rFonts w:ascii="Calibri" w:hAnsi="Calibri" w:cs="Calibri" w:eastAsia="Calibri"/>
        </w:rPr>
        <w:t>Schedule 鈥?Facility Particulars (Summary)</w:t>
      </w:r>
    </w:p>
    <w:p>
      <w:r>
        <w:t>{{anchor:FOL_FACILITY_SUMMARY}}</w:t>
      </w:r>
    </w:p>
    <w:p/>
    <w:p>
      <w:r>
        <w:rPr>
          <w:b w:val="on"/>
          <w:sz w:val="22"/>
          <w:rFonts w:ascii="Calibri" w:hAnsi="Calibri" w:cs="Calibri" w:eastAsia="Calibri"/>
        </w:rPr>
        <w:t>1. Definitions and Interpretation</w:t>
      </w:r>
    </w:p>
    <w:p>
      <w:r>
        <w:t>{{anchor:FOL_CLAUSE_01_DEFINITIONS_AND_INTERPRETATION}}</w:t>
      </w:r>
    </w:p>
    <w:p/>
    <w:p>
      <w:r>
        <w:rPr>
          <w:b w:val="on"/>
          <w:sz w:val="22"/>
          <w:rFonts w:ascii="Calibri" w:hAnsi="Calibri" w:cs="Calibri" w:eastAsia="Calibri"/>
        </w:rPr>
        <w:t>2. The Facility</w:t>
      </w:r>
    </w:p>
    <w:p>
      <w:r>
        <w:t>{{anchor:FOL_CLAUSE_02_THE_FACILITY}}</w:t>
      </w:r>
    </w:p>
    <w:p/>
    <w:p>
      <w:r>
        <w:rPr>
          <w:b w:val="on"/>
          <w:sz w:val="22"/>
          <w:rFonts w:ascii="Calibri" w:hAnsi="Calibri" w:cs="Calibri" w:eastAsia="Calibri"/>
        </w:rPr>
        <w:t>3. Purpose</w:t>
      </w:r>
    </w:p>
    <w:p>
      <w:r>
        <w:t>{{anchor:FOL_CLAUSE_03_PURPOSE}}</w:t>
      </w:r>
    </w:p>
    <w:p/>
    <w:p>
      <w:r>
        <w:rPr>
          <w:b w:val="on"/>
          <w:sz w:val="22"/>
          <w:rFonts w:ascii="Calibri" w:hAnsi="Calibri" w:cs="Calibri" w:eastAsia="Calibri"/>
        </w:rPr>
        <w:t>4. Conditions of Utilisation</w:t>
      </w:r>
    </w:p>
    <w:p>
      <w:r>
        <w:t>{{anchor:FOL_CLAUSE_04_CONDITIONS_OF_UTILISATION}}</w:t>
      </w:r>
    </w:p>
    <w:p/>
    <w:p>
      <w:r>
        <w:rPr>
          <w:b w:val="on"/>
          <w:sz w:val="22"/>
          <w:rFonts w:ascii="Calibri" w:hAnsi="Calibri" w:cs="Calibri" w:eastAsia="Calibri"/>
        </w:rPr>
        <w:t>5. Utilisation</w:t>
      </w:r>
    </w:p>
    <w:p>
      <w:r>
        <w:t>{{anchor:FOL_CLAUSE_05_UTILISATION}}</w:t>
      </w:r>
    </w:p>
    <w:p/>
    <w:p>
      <w:r>
        <w:rPr>
          <w:b w:val="on"/>
          <w:sz w:val="22"/>
          <w:rFonts w:ascii="Calibri" w:hAnsi="Calibri" w:cs="Calibri" w:eastAsia="Calibri"/>
        </w:rPr>
        <w:t>6. Repayment</w:t>
      </w:r>
    </w:p>
    <w:p>
      <w:r>
        <w:t>{{anchor:FOL_CLAUSE_06_REPAYMENT}}</w:t>
      </w:r>
    </w:p>
    <w:p/>
    <w:p>
      <w:r>
        <w:rPr>
          <w:b w:val="on"/>
          <w:sz w:val="22"/>
          <w:rFonts w:ascii="Calibri" w:hAnsi="Calibri" w:cs="Calibri" w:eastAsia="Calibri"/>
        </w:rPr>
        <w:t>7. Prepayment and Cancellation</w:t>
      </w:r>
    </w:p>
    <w:p>
      <w:r>
        <w:t>{{anchor:FOL_CLAUSE_07_PREPAYMENT_AND_CANCELLATION}}</w:t>
      </w:r>
    </w:p>
    <w:p/>
    <w:p>
      <w:r>
        <w:rPr>
          <w:b w:val="on"/>
          <w:sz w:val="22"/>
          <w:rFonts w:ascii="Calibri" w:hAnsi="Calibri" w:cs="Calibri" w:eastAsia="Calibri"/>
        </w:rPr>
        <w:t>8. Interest</w:t>
      </w:r>
    </w:p>
    <w:p>
      <w:r>
        <w:t>{{anchor:FOL_CLAUSE_08_INTEREST}}</w:t>
      </w:r>
    </w:p>
    <w:p/>
    <w:p>
      <w:pPr>
        <w:sectPr>
          <w:type w:val="nextPage"/>
          <w:pgNumType w:start="1"/>
        </w:sectPr>
      </w:pPr>
    </w:p>
    <w:p>
      <w:r>
        <w:rPr>
          <w:b w:val="on"/>
          <w:sz w:val="22"/>
          <w:rFonts w:ascii="Calibri" w:hAnsi="Calibri" w:cs="Calibri" w:eastAsia="Calibri"/>
        </w:rPr>
        <w:t>9. Interest Periods</w:t>
      </w:r>
    </w:p>
    <w:p>
      <w:r>
        <w:t>{{anchor:FOL_CLAUSE_09_INTEREST_PERIODS}}</w:t>
      </w:r>
    </w:p>
    <w:p/>
    <w:p>
      <w:r>
        <w:rPr>
          <w:b w:val="on"/>
          <w:sz w:val="22"/>
          <w:rFonts w:ascii="Calibri" w:hAnsi="Calibri" w:cs="Calibri" w:eastAsia="Calibri"/>
        </w:rPr>
        <w:t>10. Changes to the Calculation of Interest</w:t>
      </w:r>
    </w:p>
    <w:p>
      <w:r>
        <w:t>{{anchor:FOL_CLAUSE_10_CHANGES_TO_THE_CALCULATION_OF_INTEREST}}</w:t>
      </w:r>
    </w:p>
    <w:p/>
    <w:p>
      <w:r>
        <w:rPr>
          <w:b w:val="on"/>
          <w:sz w:val="22"/>
          <w:rFonts w:ascii="Calibri" w:hAnsi="Calibri" w:cs="Calibri" w:eastAsia="Calibri"/>
        </w:rPr>
        <w:t>11. Fees</w:t>
      </w:r>
    </w:p>
    <w:p>
      <w:r>
        <w:t>{{anchor:FOL_CLAUSE_11_FEES}}</w:t>
      </w:r>
    </w:p>
    <w:p/>
    <w:p>
      <w:r>
        <w:rPr>
          <w:b w:val="on"/>
          <w:sz w:val="22"/>
          <w:rFonts w:ascii="Calibri" w:hAnsi="Calibri" w:cs="Calibri" w:eastAsia="Calibri"/>
        </w:rPr>
        <w:t>12. Tax Gross-Up and Indemnities</w:t>
      </w:r>
    </w:p>
    <w:p>
      <w:r>
        <w:t>{{anchor:FOL_CLAUSE_12_TAX_GROSS_UP_AND_INDEMNITIES}}</w:t>
      </w:r>
    </w:p>
    <w:p/>
    <w:p>
      <w:r>
        <w:rPr>
          <w:b w:val="on"/>
          <w:sz w:val="22"/>
          <w:rFonts w:ascii="Calibri" w:hAnsi="Calibri" w:cs="Calibri" w:eastAsia="Calibri"/>
        </w:rPr>
        <w:t>13. Increased Costs</w:t>
      </w:r>
    </w:p>
    <w:p>
      <w:r>
        <w:t>{{anchor:FOL_CLAUSE_13_INCREASED_COSTS}}</w:t>
      </w:r>
    </w:p>
    <w:p/>
    <w:p>
      <w:r>
        <w:rPr>
          <w:b w:val="on"/>
          <w:sz w:val="22"/>
          <w:rFonts w:ascii="Calibri" w:hAnsi="Calibri" w:cs="Calibri" w:eastAsia="Calibri"/>
        </w:rPr>
        <w:t>14. Other Indemnities</w:t>
      </w:r>
    </w:p>
    <w:p>
      <w:r>
        <w:t>{{anchor:FOL_CLAUSE_14_OTHER_INDEMNITIES}}</w:t>
      </w:r>
    </w:p>
    <w:p/>
    <w:p>
      <w:r>
        <w:rPr>
          <w:b w:val="on"/>
          <w:sz w:val="22"/>
          <w:rFonts w:ascii="Calibri" w:hAnsi="Calibri" w:cs="Calibri" w:eastAsia="Calibri"/>
        </w:rPr>
        <w:t>15. Mitigation by the Lenders</w:t>
      </w:r>
    </w:p>
    <w:p>
      <w:r>
        <w:t>{{anchor:FOL_CLAUSE_15_MITIGATION_BY_THE_LENDERS}}</w:t>
      </w:r>
    </w:p>
    <w:p/>
    <w:p>
      <w:r>
        <w:rPr>
          <w:b w:val="on"/>
          <w:sz w:val="22"/>
          <w:rFonts w:ascii="Calibri" w:hAnsi="Calibri" w:cs="Calibri" w:eastAsia="Calibri"/>
        </w:rPr>
        <w:t>16. Costs and Expenses</w:t>
      </w:r>
    </w:p>
    <w:p>
      <w:r>
        <w:t>{{anchor:FOL_CLAUSE_16_COSTS_AND_EXPENSES}}</w:t>
      </w:r>
    </w:p>
    <w:p/>
    <w:p>
      <w:r>
        <w:rPr>
          <w:b w:val="on"/>
          <w:sz w:val="22"/>
          <w:rFonts w:ascii="Calibri" w:hAnsi="Calibri" w:cs="Calibri" w:eastAsia="Calibri"/>
        </w:rPr>
        <w:t>17. Guarantee and Indemnity</w:t>
      </w:r>
    </w:p>
    <w:p>
      <w:r>
        <w:t>{{anchor:FOL_CLAUSE_17_GUARANTEE_AND_INDEMNITY}}</w:t>
      </w:r>
    </w:p>
    <w:p/>
    <w:p>
      <w:r>
        <w:rPr>
          <w:b w:val="on"/>
          <w:sz w:val="22"/>
          <w:rFonts w:ascii="Calibri" w:hAnsi="Calibri" w:cs="Calibri" w:eastAsia="Calibri"/>
        </w:rPr>
        <w:t>18. Representations</w:t>
      </w:r>
    </w:p>
    <w:p>
      <w:r>
        <w:t>{{anchor:FOL_CLAUSE_18_REPRESENTATIONS}}</w:t>
      </w:r>
    </w:p>
    <w:p/>
    <w:p>
      <w:r>
        <w:rPr>
          <w:b w:val="on"/>
          <w:sz w:val="22"/>
          <w:rFonts w:ascii="Calibri" w:hAnsi="Calibri" w:cs="Calibri" w:eastAsia="Calibri"/>
        </w:rPr>
        <w:t>19. Information Undertakings</w:t>
      </w:r>
    </w:p>
    <w:p>
      <w:r>
        <w:t>{{anchor:FOL_CLAUSE_19_INFORMATION_UNDERTAKINGS}}</w:t>
      </w:r>
    </w:p>
    <w:p/>
    <w:p>
      <w:r>
        <w:rPr>
          <w:b w:val="on"/>
          <w:sz w:val="22"/>
          <w:rFonts w:ascii="Calibri" w:hAnsi="Calibri" w:cs="Calibri" w:eastAsia="Calibri"/>
        </w:rPr>
        <w:t>20. Financial Covenants</w:t>
      </w:r>
    </w:p>
    <w:p>
      <w:r>
        <w:t>{{anchor:FOL_CLAUSE_20_FINANCIAL_COVENANTS}}</w:t>
      </w:r>
    </w:p>
    <w:p/>
    <w:p>
      <w:r>
        <w:rPr>
          <w:b w:val="on"/>
          <w:sz w:val="22"/>
          <w:rFonts w:ascii="Calibri" w:hAnsi="Calibri" w:cs="Calibri" w:eastAsia="Calibri"/>
        </w:rPr>
        <w:t>21. General Undertakings</w:t>
      </w:r>
    </w:p>
    <w:p>
      <w:r>
        <w:t>{{anchor:FOL_CLAUSE_21_GENERAL_UNDERTAKINGS}}</w:t>
      </w:r>
    </w:p>
    <w:p/>
    <w:p>
      <w:r>
        <w:rPr>
          <w:b w:val="on"/>
          <w:sz w:val="22"/>
          <w:rFonts w:ascii="Calibri" w:hAnsi="Calibri" w:cs="Calibri" w:eastAsia="Calibri"/>
        </w:rPr>
        <w:t>22. Events of Default</w:t>
      </w:r>
    </w:p>
    <w:p>
      <w:r>
        <w:t>{{anchor:FOL_CLAUSE_22_EVENTS_OF_DEFAULT}}</w:t>
      </w:r>
    </w:p>
    <w:p/>
    <w:p>
      <w:r>
        <w:rPr>
          <w:b w:val="on"/>
          <w:sz w:val="22"/>
          <w:rFonts w:ascii="Calibri" w:hAnsi="Calibri" w:cs="Calibri" w:eastAsia="Calibri"/>
        </w:rPr>
        <w:t>23. Changes to the Lenders</w:t>
      </w:r>
    </w:p>
    <w:p>
      <w:r>
        <w:t>{{anchor:FOL_CLAUSE_23_CHANGES_TO_THE_LENDERS}}</w:t>
      </w:r>
    </w:p>
    <w:p/>
    <w:p>
      <w:r>
        <w:rPr>
          <w:b w:val="on"/>
          <w:sz w:val="22"/>
          <w:rFonts w:ascii="Calibri" w:hAnsi="Calibri" w:cs="Calibri" w:eastAsia="Calibri"/>
        </w:rPr>
        <w:t>24. The Agent and the Arrangers</w:t>
      </w:r>
    </w:p>
    <w:p>
      <w:r>
        <w:t>{{anchor:FOL_CLAUSE_24_THE_AGENT_AND_THE_ARRANGERS}}</w:t>
      </w:r>
    </w:p>
    <w:p/>
    <w:p>
      <w:r>
        <w:rPr>
          <w:b w:val="on"/>
          <w:sz w:val="22"/>
          <w:rFonts w:ascii="Calibri" w:hAnsi="Calibri" w:cs="Calibri" w:eastAsia="Calibri"/>
        </w:rPr>
        <w:t>25. Conduct of Business by the Finance Parties</w:t>
      </w:r>
    </w:p>
    <w:p>
      <w:r>
        <w:t>{{anchor:FOL_CLAUSE_25_CONDUCT_OF_BUSINESS_BY_THE_FINANCE_PARTIES}}</w:t>
      </w:r>
    </w:p>
    <w:p/>
    <w:p>
      <w:r>
        <w:rPr>
          <w:b w:val="on"/>
          <w:sz w:val="22"/>
          <w:rFonts w:ascii="Calibri" w:hAnsi="Calibri" w:cs="Calibri" w:eastAsia="Calibri"/>
        </w:rPr>
        <w:t>26. Sharing among the Finance Parties</w:t>
      </w:r>
    </w:p>
    <w:p>
      <w:r>
        <w:t>{{anchor:FOL_CLAUSE_26_SHARING_AMONG_THE_FINANCE_PARTIES}}</w:t>
      </w:r>
    </w:p>
    <w:p/>
    <w:p>
      <w:r>
        <w:rPr>
          <w:b w:val="on"/>
          <w:sz w:val="22"/>
          <w:rFonts w:ascii="Calibri" w:hAnsi="Calibri" w:cs="Calibri" w:eastAsia="Calibri"/>
        </w:rPr>
        <w:t>27. Payment Mechanics</w:t>
      </w:r>
    </w:p>
    <w:p>
      <w:r>
        <w:t>{{anchor:FOL_CLAUSE_27_PAYMENT_MECHANICS}}</w:t>
      </w:r>
    </w:p>
    <w:p/>
    <w:p>
      <w:r>
        <w:rPr>
          <w:b w:val="on"/>
          <w:sz w:val="22"/>
          <w:rFonts w:ascii="Calibri" w:hAnsi="Calibri" w:cs="Calibri" w:eastAsia="Calibri"/>
        </w:rPr>
        <w:t>28. Set-Off</w:t>
      </w:r>
    </w:p>
    <w:p>
      <w:r>
        <w:t>{{anchor:FOL_CLAUSE_28_SET_OFF}}</w:t>
      </w:r>
    </w:p>
    <w:p/>
    <w:p>
      <w:r>
        <w:rPr>
          <w:b w:val="on"/>
          <w:sz w:val="22"/>
          <w:rFonts w:ascii="Calibri" w:hAnsi="Calibri" w:cs="Calibri" w:eastAsia="Calibri"/>
        </w:rPr>
        <w:t>29. Notices</w:t>
      </w:r>
    </w:p>
    <w:p>
      <w:r>
        <w:t>{{anchor:FOL_CLAUSE_29_NOTICES}}</w:t>
      </w:r>
    </w:p>
    <w:p/>
    <w:p>
      <w:r>
        <w:rPr>
          <w:b w:val="on"/>
          <w:sz w:val="22"/>
          <w:rFonts w:ascii="Calibri" w:hAnsi="Calibri" w:cs="Calibri" w:eastAsia="Calibri"/>
        </w:rPr>
        <w:t>30. Governing Law and Jurisdiction</w:t>
      </w:r>
    </w:p>
    <w:p>
      <w:r>
        <w:t>{{anchor:FOL_CLAUSE_30_GOVERNING_LAW_AND_JURISDICTION}}</w:t>
      </w:r>
    </w:p>
    <w:p/>
    <w:p>
      <w:r>
        <w:rPr>
          <w:b w:val="on"/>
          <w:sz w:val="22"/>
          <w:rFonts w:ascii="Calibri" w:hAnsi="Calibri" w:cs="Calibri" w:eastAsia="Calibri"/>
        </w:rPr>
        <w:t>Schedule 1 - Facility Particulars</w:t>
      </w:r>
    </w:p>
    <w:p>
      <w:r>
        <w:t>{{anchor:FOL_SCHEDULE_01_FACILITY_PARTICULARS}}</w:t>
      </w:r>
    </w:p>
    <w:p/>
    <w:p>
      <w:r>
        <w:rPr>
          <w:b w:val="on"/>
          <w:sz w:val="22"/>
          <w:rFonts w:ascii="Calibri" w:hAnsi="Calibri" w:cs="Calibri" w:eastAsia="Calibri"/>
        </w:rPr>
        <w:t>Schedule 2 - Conditions Precedent</w:t>
      </w:r>
    </w:p>
    <w:p>
      <w:r>
        <w:t>{{anchor:FOL_SCHEDULE_02_CONDITIONS_PRECEDENT}}</w:t>
      </w:r>
    </w:p>
    <w:p/>
    <w:p>
      <w:r>
        <w:rPr>
          <w:b w:val="on"/>
          <w:sz w:val="22"/>
          <w:rFonts w:ascii="Calibri" w:hAnsi="Calibri" w:cs="Calibri" w:eastAsia="Calibri"/>
        </w:rPr>
        <w:t>Schedule 3 - Representations</w:t>
      </w:r>
    </w:p>
    <w:p>
      <w:r>
        <w:t>{{anchor:FOL_SCHEDULE_03_REPRESENTATIONS}}</w:t>
      </w:r>
    </w:p>
    <w:p/>
    <w:p>
      <w:r>
        <w:rPr>
          <w:b w:val="on"/>
          <w:sz w:val="22"/>
          <w:rFonts w:ascii="Calibri" w:hAnsi="Calibri" w:cs="Calibri" w:eastAsia="Calibri"/>
        </w:rPr>
        <w:t>Schedule 4 - Form of Utilisation Request</w:t>
      </w:r>
    </w:p>
    <w:p>
      <w:r>
        <w:t>{{anchor:FOL_SCHEDULE_04_FORM_OF_UTILISATION_REQUEST}}</w:t>
      </w:r>
    </w:p>
    <w:p/>
    <w:p>
      <w:r>
        <w:rPr>
          <w:b w:val="on"/>
          <w:sz w:val="22"/>
          <w:rFonts w:ascii="Calibri" w:hAnsi="Calibri" w:cs="Calibri" w:eastAsia="Calibri"/>
        </w:rPr>
        <w:t>Schedule 5 - Fees</w:t>
      </w:r>
    </w:p>
    <w:p>
      <w:r>
        <w:t>{{anchor:FOL_SCHEDULE_05_FEES}}</w:t>
      </w:r>
    </w:p>
    <w:p/>
    <w:p>
      <w:r>
        <w:rPr>
          <w:b w:val="on"/>
          <w:sz w:val="22"/>
          <w:rFonts w:ascii="Calibri" w:hAnsi="Calibri" w:cs="Calibri" w:eastAsia="Calibri"/>
        </w:rPr>
        <w:t>Schedule 6 - Security Principles</w:t>
      </w:r>
    </w:p>
    <w:p>
      <w:r>
        <w:t>{{anchor:FOL_SCHEDULE_06_SECURITY_PRINCIPLES}}</w:t>
      </w:r>
    </w:p>
    <w:p/>
    <w:p>
      <w:r>
        <w:rPr>
          <w:b w:val="on"/>
          <w:sz w:val="22"/>
          <w:rFonts w:ascii="Calibri" w:hAnsi="Calibri" w:cs="Calibri" w:eastAsia="Calibri"/>
        </w:rPr>
        <w:t>Execution 鈥?Borrower</w:t>
      </w:r>
    </w:p>
    <w:p>
      <w:r>
        <w:t>{{anchor:FOL_SIG_BORROWER}}</w:t>
      </w:r>
    </w:p>
    <w:p/>
    <w:p>
      <w:r>
        <w:rPr>
          <w:b w:val="on"/>
          <w:sz w:val="22"/>
          <w:rFonts w:ascii="Calibri" w:hAnsi="Calibri" w:cs="Calibri" w:eastAsia="Calibri"/>
        </w:rPr>
        <w:t>Execution 鈥?Lenders / Agent</w:t>
      </w:r>
    </w:p>
    <w:p>
      <w:r>
        <w:t>{{anchor:FOL_SIG_LENDER}}</w:t>
      </w:r>
    </w:p>
    <w:p/>
    <w:sectPr>
      <main:headerReference xmlns:main="http://schemas.openxmlformats.org/wordprocessingml/2006/main" xmlns:rel="http://schemas.openxmlformats.org/officeDocument/2006/relationships" main:type="default" rel:id="rId3"/>
      <main:footerReference xmlns:main="http://schemas.openxmlformats.org/wordprocessingml/2006/main" xmlns:rel="http://schemas.openxmlformats.org/officeDocument/2006/relationships" main:type="default" rel:id="rId4"/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sz w:val="14"/>
        <w:color w:val="666666"/>
        <w:rFonts w:ascii="Calibri" w:hAnsi="Calibri" w:cs="Calibri" w:eastAsia="Calibri"/>
      </w:rPr>
      <w:t>25 Lombard Street, London EC3V 9AA  |  www.meridian-global.example  |  Regulated by the PRA &amp; FCA</w:t>
    </w:r>
  </w:p>
  <w:p>
    <w:pPr>
      <w:jc w:val="center"/>
    </w:pPr>
    <w:r>
      <w:rPr>
        <w:sz w:val="16"/>
        <w:rFonts w:ascii="Calibri" w:hAnsi="Calibri" w:cs="Calibri" w:eastAsia="Calibri"/>
      </w:rPr>
      <w:t xml:space="preserve">Section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SECTIONPAGES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 |  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  <w:p>
    <w:pPr>
      <w:jc w:val="center"/>
    </w:pPr>
    <w:r>
      <w:rPr>
        <w:sz w:val="14"/>
        <w:i w:val="on"/>
        <w:color w:val="888888"/>
        <w:rFonts w:ascii="Calibri" w:hAnsi="Calibri" w:cs="Calibri" w:eastAsia="Calibri"/>
      </w:rPr>
      <w:t>Internal demonstration document — not an offer capable of acceptance</w:t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 w:val="on"/>
        <w:sz w:val="18"/>
        <w:color w:val="003366"/>
        <w:rFonts w:ascii="Calibri" w:hAnsi="Calibri" w:cs="Calibri" w:eastAsia="Calibri"/>
      </w:rPr>
      <w:t>Meridian Global Banking Corporation</w:t>
    </w:r>
  </w:p>
  <w:p>
    <w:pPr>
      <w:jc w:val="right"/>
    </w:pPr>
    <w:r>
      <w:rPr>
        <w:b w:val="on"/>
        <w:sz w:val="14"/>
        <w:color w:val="990000"/>
        <w:rFonts w:ascii="Calibri" w:hAnsi="Calibri" w:cs="Calibri" w:eastAsia="Calibri"/>
      </w:rPr>
      <w:t>STRICTLY PRIVATE AND CONFIDENTIAL</w:t>
    </w:r>
  </w:p>
  <w:p>
    <w:pPr>
      <w:pBdr>
        <w:bottom w:val="single"/>
      </w:pBdr>
    </w:pPr>
    <w:r>
      <w:rPr>
        <w:sz w:val="8"/>
      </w:rPr>
      <w:t xml:space="preserve"> 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0"/>
      <w:szCs w:val="20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 w:eastAsia="Cambria"/>
      <w:b/>
    </w:rPr>
  </w:style>
  <w:style w:type="paragraph" w:styleId="Heading2">
    <w:name w:val="Heading2"/>
    <w:qFormat/>
    <w:rPr>
      <w:sz w:val="28"/>
      <w:rFonts w:ascii="Cambria" w:hAnsi="Cambria" w:cs="Cambria" w:eastAsia="Cambria"/>
      <w:b/>
    </w:rPr>
  </w:style>
  <w:style w:type="paragraph" w:styleId="Heading3">
    <w:name w:val="Heading3"/>
    <w:qFormat/>
    <w:rPr>
      <w:sz w:val="24"/>
      <w:rFonts w:ascii="Cambria" w:hAnsi="Cambria" w:cs="Cambria" w:eastAsia="Cambria"/>
      <w:b/>
    </w:rPr>
  </w:style>
  <w:style w:type="paragraph" w:styleId="ClauseBody">
    <w:name w:val="ClauseBody"/>
    <w:qFormat/>
    <w:rPr>
      <w:sz w:val="20"/>
      <w:rFonts w:ascii="Calibri" w:hAnsi="Calibri" w:cs="Calibri" w:eastAsia="Calibri"/>
    </w:rPr>
  </w:style>
  <w:style w:type="paragraph" w:styleId="DefinedTerm">
    <w:name w:val="DefinedTerm"/>
    <w:qFormat/>
    <w:rPr>
      <w:sz w:val="20"/>
      <w:rFonts w:ascii="Calibri" w:hAnsi="Calibri" w:cs="Calibri" w:eastAsia="Calibri"/>
      <w:b/>
    </w:rPr>
  </w:style>
  <w:style w:type="paragraph" w:styleId="TableHeader">
    <w:name w:val="TableHeader"/>
    <w:qFormat/>
    <w:rPr>
      <w:sz w:val="20"/>
      <w:rFonts w:ascii="Calibri" w:hAnsi="Calibri" w:cs="Calibri" w:eastAsia="Calibri"/>
      <w:b/>
    </w:rPr>
  </w:style>
  <w:style w:type="paragraph" w:styleId="ScheduleTitle">
    <w:name w:val="ScheduleTitle"/>
    <w:qFormat/>
    <w:rPr>
      <w:sz w:val="26"/>
      <w:rFonts w:ascii="Cambria" w:hAnsi="Cambria" w:cs="Cambria" w:eastAsia="Cambria"/>
      <w:b/>
    </w:rPr>
  </w:style>
  <w:style w:type="paragraph" w:styleId="SignatureBlock">
    <w:name w:val="SignatureBlock"/>
    <w:qFormat/>
    <w:rPr>
      <w:sz w:val="20"/>
      <w:rFonts w:ascii="Calibri" w:hAnsi="Calibri" w:cs="Calibri" w:eastAsia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2026-07-19T20:50:40Z</dcterms:created>
  <dc:creator>Apache POI</dc:creator>
</cp:coreProperties>
</file>