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Facility Amendment and Variation Letter</w:t>
      </w:r>
    </w:p>
    <w:p>
      <w:pPr>
        <w:jc w:val="left"/>
      </w:pPr>
      <w:r>
        <w:rPr>
          <w:b w:val="on"/>
          <w:sz w:val="24"/>
        </w:rPr>
        <w:t>Parties and Recital</w:t>
      </w:r>
    </w:p>
    <w:p>
      <w:r>
        <w:t>{{anchor:FA_PARTIES}}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Defined Terms</w:t>
      </w:r>
    </w:p>
    <w:p>
      <w:r>
        <w:t>{{anchor:FA_DEFINED_TERMS}}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Existing Facility and Variations</w:t>
      </w:r>
    </w:p>
    <w:p>
      <w:r>
        <w:t>{{anchor:FA_EXISTING_FACILITY}}</w:t>
      </w:r>
    </w:p>
    <w:p>
      <w:r>
        <w:t>{{anchor:FA_VARIATIONS}}</w:t>
      </w:r>
    </w:p>
    <w:p>
      <w:r>
        <w:t>{{anchor:FA_OPERATIVE}}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Covenants and Schedule</w:t>
      </w:r>
    </w:p>
    <w:p>
      <w:r>
        <w:t>{{anchor:FA_COVENANTS}}</w:t>
      </w:r>
    </w:p>
    <w:p>
      <w:r>
        <w:t>{{anchor:FA_SCHEDULE}}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Closing Provisions</w:t>
      </w:r>
    </w:p>
    <w:p>
      <w:r>
        <w:t>{{anchor:FA_GOVERNING_LAW}}</w:t>
      </w:r>
    </w:p>
    <w:p>
      <w:r>
        <w:t>{{anchor:FA_SIGNATURE}}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25 Lombard Street, London EC3V 9AA  |  www.meridian-global.example  |  Regulated by the PRA &amp; FCA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Global Banking Corporation — Corporate Credit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2026-07-20T11:01:03Z</dcterms:created>
  <dc:creator>Apache POI</dc:creator>
</cp:coreProperties>
</file>