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Insurance Endorsement / Security Insurance Notice</w:t>
      </w:r>
    </w:p>
    <w:p>
      <w:pPr>
        <w:jc w:val="left"/>
      </w:pPr>
      <w:r>
        <w:rPr>
          <w:b w:val="on"/>
          <w:sz w:val="24"/>
        </w:rPr>
        <w:t>Parties</w:t>
      </w:r>
    </w:p>
    <w:p>
      <w:r>
        <w:t>{{anchor:IE_PARTIES}}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Property and Definitions</w:t>
      </w:r>
    </w:p>
    <w:p>
      <w:r>
        <w:t>{{anchor:IE_PROPERTY}}</w:t>
      </w:r>
    </w:p>
    <w:p>
      <w:r>
        <w:t>{{anchor:IE_DEFINED_TERMS}}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Policy and Bank Interest</w:t>
      </w:r>
    </w:p>
    <w:p>
      <w:r>
        <w:t>{{anchor:IE_POLICY}}</w:t>
      </w:r>
    </w:p>
    <w:p>
      <w:r>
        <w:t>{{anchor:IE_BANK_INTEREST}}</w:t>
      </w:r>
    </w:p>
    <w:p>
      <w:r>
        <w:t>{{anchor:IE_REQUIREMENTS}}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Closing Provisions</w:t>
      </w:r>
    </w:p>
    <w:p>
      <w:r>
        <w:t>{{anchor:IE_GOVERNING_LAW}}</w:t>
      </w:r>
    </w:p>
    <w:p>
      <w:r>
        <w:t>{{anchor:IE_SIGNATURE}}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1 Churchill Place, London E14 5HP  |  Meridian Retail Banking / Meridian Home Finance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Home Finance — Security &amp; Insurance Servicing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2026-07-20T11:01:06Z</dcterms:created>
  <dc:creator>Apache POI</dc:creator>
</cp:coreProperties>
</file>