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Customer Due Diligence Information Request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{{anchor:KYC_PARTIES}}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Purpose and Definitions</w:t>
      </w:r>
    </w:p>
    <w:p>
      <w:r>
        <w:t>{{anchor:KYC_PURPOSE}}</w:t>
      </w:r>
    </w:p>
    <w:p>
      <w:r>
        <w:t>{{anchor:KYC_DEFINED_TERMS}}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Request and Checklist</w:t>
      </w:r>
    </w:p>
    <w:p>
      <w:r>
        <w:t>{{anchor:KYC_REQUEST}}</w:t>
      </w:r>
    </w:p>
    <w:p>
      <w:r>
        <w:t>{{anchor:KYC_CHECKLIST}}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Consequences and Closing</w:t>
      </w:r>
    </w:p>
    <w:p>
      <w:r>
        <w:t>{{anchor:KYC_CONSEQUENCES}}</w:t>
      </w:r>
    </w:p>
    <w:p>
      <w:r>
        <w:t>{{anchor:KYC_GOVERNING_LAW}}</w:t>
      </w:r>
    </w:p>
    <w:p>
      <w:r>
        <w:t>{{anchor:KYC_SIGNATURE}}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1 Churchill Place, London E14 5HP  |  Meridian Retail Banking  |  FCA regulated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Retail Banking — Financial Crime Compliance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2026-07-20T11:01:06Z</dcterms:created>
  <dc:creator>Apache POI</dc:creator>
</cp:coreProperties>
</file>