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Residential Mortgage Approval</w:t>
      </w:r>
    </w:p>
    <w:p>
      <w:r>
        <w:t>{{anchor:MT_PARTIES}}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</w:t>
      </w:r>
    </w:p>
    <w:p>
      <w:r>
        <w:t>{{anchor:MT_DEFINED_TERMS}}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Loan Particulars</w:t>
      </w:r>
    </w:p>
    <w:p>
      <w:r>
        <w:t>{{anchor:MT_LOAN_TERMS}}</w:t>
      </w:r>
    </w:p>
    <w:p>
      <w:r>
        <w:t>{{anchor:MT_INTEREST}}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Covenants and Conditions</w:t>
      </w:r>
    </w:p>
    <w:p>
      <w:r>
        <w:t>{{anchor:MT_COVENANTS}}</w:t>
      </w:r>
    </w:p>
    <w:p>
      <w:r>
        <w:t>{{anchor:MT_CONDITIONS}}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Repayment Schedule</w:t>
      </w:r>
    </w:p>
    <w:p>
      <w:r>
        <w:t>{{anchor:MT_SCHEDULE}}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Closing Provisions</w:t>
      </w:r>
    </w:p>
    <w:p>
      <w:r>
        <w:t>{{anchor:MT_GOVERNING_LAW}}</w:t>
      </w:r>
    </w:p>
    <w:p>
      <w:r>
        <w:t>{{anchor:MT_SIGNATURE}}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PO Box 4400, Manchester M1 4HQ  |  www.meridian-home.example  |  FCA FRN 305207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Home Finance — Residential Mortgage Services</w:t>
    </w:r>
  </w:p>
  <w:p>
    <w:pPr>
      <w:jc w:val="right"/>
    </w:pPr>
    <w:r>
      <w:rPr>
        <w:b w:val="on"/>
        <w:sz w:val="14"/>
        <w:color w:val="990000"/>
      </w:rPr>
      <w:t>FCA REGULATED — YOUR HOME MAY BE REPOSSESSED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2026-07-20T11:01:06Z</dcterms:created>
  <dc:creator>Apache POI</dc:creator>
</cp:coreProperties>
</file>