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28"/>
        </w:rPr>
        <w:t>Covenant Waiver / Consent Letter</w:t>
      </w:r>
    </w:p>
    <w:p>
      <w:pPr>
        <w:jc w:val="left"/>
      </w:pPr>
      <w:r>
        <w:rPr>
          <w:b w:val="on"/>
          <w:sz w:val="24"/>
        </w:rPr>
        <w:t>Parties</w:t>
      </w:r>
    </w:p>
    <w:p>
      <w:pPr>
        <w:pStyle w:val="ClauseBody"/>
      </w:pPr>
      <w:r>
        <w:rPr>
          <w:b w:val="off"/>
          <w:i w:val="off"/>
        </w:rPr>
        <w:t xml:space="preserve">Date: </w:t>
      </w:r>
      <w:r>
        <w:rPr>
          <w:b w:val="off"/>
          <w:i w:val="off"/>
        </w:rPr>
        <w:t>2026-07-20</w:t>
      </w:r>
    </w:p>
    <w:p>
      <w:pPr>
        <w:pStyle w:val="ClauseBody"/>
      </w:pPr>
      <w:r>
        <w:rPr>
          <w:b w:val="off"/>
          <w:i w:val="off"/>
        </w:rPr>
        <w:t xml:space="preserve">To: </w:t>
      </w:r>
      <w:r>
        <w:rPr>
          <w:b w:val="on"/>
          <w:i w:val="off"/>
        </w:rPr>
        <w:t>Northgate Manufacturing Ltd.</w:t>
      </w:r>
    </w:p>
    <w:p>
      <w:pPr>
        <w:pStyle w:val="ClauseBody"/>
      </w:pPr>
      <w:r>
        <w:rPr>
          <w:b w:val="off"/>
          <w:i w:val="off"/>
        </w:rPr>
        <w:t>Unit 7, Trident Industrial Park, Leeds LS10 1TT</w:t>
      </w:r>
    </w:p>
    <w:p>
      <w:pPr>
        <w:pStyle w:val="ClauseBody"/>
      </w:pPr>
      <w:r>
        <w:rPr>
          <w:b w:val="off"/>
          <w:i w:val="off"/>
        </w:rPr>
        <w:t>United Kingdom</w:t>
      </w:r>
    </w:p>
    <w:p>
      <w:pPr>
        <w:pStyle w:val="ClauseBody"/>
      </w:pPr>
      <w:r>
        <w:rPr>
          <w:b w:val="off"/>
          <w:i w:val="off"/>
        </w:rPr>
        <w:t>Dear Sirs,</w:t>
      </w:r>
    </w:p>
    <w:p>
      <w:pPr>
        <w:pStyle w:val="ClauseBody"/>
      </w:pPr>
      <w:r>
        <w:rPr>
          <w:b w:val="off"/>
          <w:i w:val="off"/>
        </w:rPr>
        <w:t xml:space="preserve">Re: Covenant Waiver / Consent Letter — Facility Reference </w:t>
      </w:r>
      <w:r>
        <w:rPr>
          <w:b w:val="off"/>
          <w:i w:val="off"/>
          <w:u w:val="single"/>
        </w:rPr>
        <w:t>CORP-CL-2026-88421</w:t>
      </w:r>
    </w:p>
    <w:p>
      <w:pPr>
        <w:pStyle w:val="ClauseBody"/>
      </w:pPr>
      <w:r>
        <w:rPr>
          <w:b w:val="off"/>
          <w:i w:val="off"/>
        </w:rPr>
        <w:t xml:space="preserve">We, </w:t>
      </w:r>
      <w:r>
        <w:rPr>
          <w:b w:val="on"/>
          <w:i w:val="off"/>
        </w:rPr>
        <w:t>Meridian Global Banking Corporation</w:t>
      </w:r>
      <w:r>
        <w:rPr>
          <w:b w:val="off"/>
          <w:i w:val="off"/>
        </w:rPr>
        <w:t xml:space="preserve"> of </w:t>
      </w:r>
      <w:r>
        <w:rPr>
          <w:b w:val="off"/>
          <w:i w:val="off"/>
        </w:rPr>
        <w:t>25 Lombard Street, London EC3V 9AA, United Kingdom</w:t>
      </w:r>
      <w:r>
        <w:rPr>
          <w:b w:val="off"/>
          <w:i w:val="off"/>
        </w:rPr>
        <w:t xml:space="preserve"> (the Bank), acting through </w:t>
      </w:r>
      <w:r>
        <w:rPr>
          <w:b w:val="off"/>
          <w:i w:val="off"/>
        </w:rPr>
        <w:t>Wholesale Banking — Corporate Credit</w:t>
      </w:r>
      <w:r>
        <w:rPr>
          <w:b w:val="off"/>
          <w:i w:val="off"/>
        </w:rPr>
        <w:t xml:space="preserve">, refer to the Facility Agreement identified by reference </w:t>
      </w:r>
      <w:r>
        <w:rPr>
          <w:b w:val="off"/>
          <w:i w:val="off"/>
          <w:u w:val="single"/>
        </w:rPr>
        <w:t>CORP-CL-2026-88421</w:t>
      </w:r>
      <w:r>
        <w:rPr>
          <w:b w:val="off"/>
          <w:i w:val="off"/>
        </w:rPr>
        <w:t xml:space="preserve"> with </w:t>
      </w:r>
      <w:r>
        <w:rPr>
          <w:b w:val="on"/>
          <w:i w:val="off"/>
        </w:rPr>
        <w:t>Northgate Manufacturing Ltd.</w:t>
      </w:r>
      <w:r>
        <w:rPr>
          <w:b w:val="off"/>
          <w:i w:val="off"/>
        </w:rPr>
        <w:t xml:space="preserve"> (the Borrower).</w:t>
      </w:r>
    </w:p>
    <w:p>
      <w:pPr>
        <w:sectPr>
          <w:type w:val="nextPage"/>
          <w:pgNumType w:start="1"/>
        </w:sectPr>
      </w:pPr>
    </w:p>
    <w:p>
      <w:pPr>
        <w:jc w:val="left"/>
      </w:pPr>
      <w:r>
        <w:rPr>
          <w:b w:val="on"/>
          <w:sz w:val="24"/>
        </w:rPr>
        <w:t>Defined Terms</w:t>
      </w:r>
    </w:p>
    <w:p>
      <w:pPr>
        <w:pStyle w:val="Heading2"/>
      </w:pPr>
      <w:r>
        <w:rPr>
          <w:b w:val="on"/>
          <w:i w:val="off"/>
        </w:rPr>
        <w:t xml:space="preserve">1 </w:t>
      </w:r>
      <w:r>
        <w:rPr>
          <w:b w:val="off"/>
          <w:i w:val="off"/>
        </w:rPr>
        <w:t>Defined Terms</w:t>
      </w:r>
    </w:p>
    <w:p>
      <w:pPr>
        <w:pStyle w:val="DefinedTerm"/>
      </w:pPr>
      <w:r>
        <w:rPr>
          <w:b w:val="off"/>
          <w:i w:val="off"/>
        </w:rPr>
        <w:t>"Specified Covenant Breach"</w:t>
      </w:r>
      <w:r>
        <w:rPr>
          <w:b w:val="off"/>
          <w:i w:val="off"/>
        </w:rPr>
        <w:t xml:space="preserve"> means the breach of </w:t>
      </w:r>
      <w:r>
        <w:rPr>
          <w:b w:val="on"/>
          <w:i w:val="off"/>
        </w:rPr>
        <w:t>Maximum Leverage Ratio (Total Financial Indebtedness to EBITDA)</w:t>
      </w:r>
      <w:r>
        <w:rPr>
          <w:b w:val="off"/>
          <w:i w:val="off"/>
        </w:rPr>
        <w:t xml:space="preserve"> described as: </w:t>
      </w:r>
      <w:r>
        <w:rPr>
          <w:b w:val="off"/>
          <w:i w:val="off"/>
        </w:rPr>
        <w:t>Leverage Ratio of 3.72:1.00 against a covenant maximum of 3.50:1.00 as at the Testing Date</w:t>
      </w:r>
      <w:r>
        <w:rPr>
          <w:b w:val="off"/>
          <w:i w:val="off"/>
        </w:rPr>
        <w:t>.</w:t>
      </w:r>
    </w:p>
    <w:p>
      <w:pPr>
        <w:pStyle w:val="DefinedTerm"/>
      </w:pPr>
      <w:r>
        <w:rPr>
          <w:b w:val="off"/>
          <w:i w:val="off"/>
        </w:rPr>
        <w:t>"Waiver Period"</w:t>
      </w:r>
      <w:r>
        <w:rPr>
          <w:b w:val="off"/>
          <w:i w:val="off"/>
        </w:rPr>
        <w:t xml:space="preserve"> means the period from the Waiver Effective Date of </w:t>
      </w:r>
      <w:r>
        <w:rPr>
          <w:b w:val="off"/>
          <w:i w:val="off"/>
        </w:rPr>
        <w:t>2026-07-20</w:t>
      </w:r>
      <w:r>
        <w:rPr>
          <w:b w:val="off"/>
          <w:i w:val="off"/>
        </w:rPr>
        <w:t xml:space="preserve"> to the Waiver End Date of </w:t>
      </w:r>
      <w:r>
        <w:rPr>
          <w:b w:val="off"/>
          <w:i w:val="off"/>
        </w:rPr>
        <w:t>2026-09-30</w:t>
      </w:r>
      <w:r>
        <w:rPr>
          <w:b w:val="off"/>
          <w:i w:val="off"/>
        </w:rPr>
        <w:t xml:space="preserve"> (inclusive).</w:t>
      </w:r>
    </w:p>
    <w:p>
      <w:pPr>
        <w:pStyle w:val="DefinedTerm"/>
      </w:pPr>
      <w:r>
        <w:rPr>
          <w:b w:val="off"/>
          <w:i w:val="off"/>
        </w:rPr>
        <w:t>"Waiver Letter"</w:t>
      </w:r>
      <w:r>
        <w:rPr>
          <w:b w:val="off"/>
          <w:i w:val="off"/>
        </w:rPr>
        <w:t xml:space="preserve"> means this covenant waiver / consent letter.</w:t>
      </w:r>
    </w:p>
    <w:p>
      <w:pPr>
        <w:pStyle w:val="DefinedTerm"/>
      </w:pPr>
      <w:r>
        <w:rPr>
          <w:b w:val="off"/>
          <w:i w:val="off"/>
        </w:rPr>
        <w:t>"Facility Agreement"</w:t>
      </w:r>
      <w:r>
        <w:rPr>
          <w:b w:val="off"/>
          <w:i w:val="off"/>
        </w:rPr>
        <w:t xml:space="preserve"> means the facility agreement identified by reference </w:t>
      </w:r>
      <w:r>
        <w:rPr>
          <w:b w:val="off"/>
          <w:i w:val="off"/>
          <w:u w:val="single"/>
        </w:rPr>
        <w:t>CORP-CL-2026-88421</w:t>
      </w:r>
      <w:r>
        <w:rPr>
          <w:b w:val="off"/>
          <w:i w:val="off"/>
        </w:rPr>
        <w:t>.</w:t>
      </w:r>
    </w:p>
    <w:p>
      <w:pPr>
        <w:sectPr>
          <w:type w:val="nextPage"/>
          <w:pgNumType w:start="1"/>
        </w:sectPr>
      </w:pPr>
    </w:p>
    <w:p>
      <w:pPr>
        <w:jc w:val="left"/>
      </w:pPr>
      <w:r>
        <w:rPr>
          <w:b w:val="on"/>
          <w:sz w:val="24"/>
        </w:rPr>
        <w:t>Waiver Scope and Conditions</w:t>
      </w:r>
    </w:p>
    <w:p>
      <w:pPr>
        <w:pStyle w:val="Heading2"/>
      </w:pPr>
      <w:r>
        <w:rPr>
          <w:b w:val="on"/>
          <w:i w:val="off"/>
        </w:rPr>
        <w:t xml:space="preserve">1 </w:t>
      </w:r>
      <w:r>
        <w:rPr>
          <w:b w:val="off"/>
          <w:i w:val="off"/>
        </w:rPr>
        <w:t>Waiver Particulars</w:t>
      </w:r>
    </w:p>
    <w:p>
      <w:pPr>
        <w:pStyle w:val="ClauseBody"/>
      </w:pPr>
      <w:r>
        <w:rPr>
          <w:b w:val="off"/>
          <w:i w:val="off"/>
        </w:rPr>
        <w:t xml:space="preserve">The Borrower has notified the Bank that, as at the Testing Date of </w:t>
      </w:r>
      <w:r>
        <w:rPr>
          <w:b w:val="off"/>
          <w:i w:val="off"/>
        </w:rPr>
        <w:t>2026-06-30</w:t>
      </w:r>
      <w:r>
        <w:rPr>
          <w:b w:val="off"/>
          <w:i w:val="off"/>
        </w:rPr>
        <w:t xml:space="preserve">, a breach occurred in respect of </w:t>
      </w:r>
      <w:r>
        <w:rPr>
          <w:b w:val="on"/>
          <w:i w:val="off"/>
        </w:rPr>
        <w:t>Maximum Leverage Ratio (Total Financial Indebtedness to EBITDA)</w:t>
      </w:r>
      <w:r>
        <w:rPr>
          <w:b w:val="off"/>
          <w:i w:val="off"/>
        </w:rPr>
        <w:t xml:space="preserve">: </w:t>
      </w:r>
      <w:r>
        <w:rPr>
          <w:b w:val="off"/>
          <w:i w:val="off"/>
        </w:rPr>
        <w:t>Leverage Ratio of 3.72:1.00 against a covenant maximum of 3.50:1.00 as at the Testing Date</w:t>
      </w:r>
      <w:r>
        <w:rPr>
          <w:b w:val="off"/>
          <w:i w:val="off"/>
        </w:rPr>
        <w:t>.</w:t>
      </w:r>
    </w:p>
    <w:p>
      <w:pPr>
        <w:pStyle w:val="ClauseBody"/>
      </w:pPr>
      <w:r>
        <w:rPr>
          <w:b w:val="off"/>
          <w:i w:val="off"/>
        </w:rPr>
        <w:t>Subject to the Consent Conditions, the Bank grants a limited waiver of the Specified Covenant Breach as set out below.</w:t>
      </w:r>
    </w:p>
    <w:p>
      <w:pPr>
        <w:pStyle w:val="BodyText"/>
      </w:pPr>
      <w:r>
        <w:rPr>
          <w:b w:val="off"/>
          <w:i w:val="off"/>
        </w:rPr>
        <w:t>Limited waiver: Subject to the Consent Conditions, the Bank hereby waives the Specified Covenant Breach solely to the extent described in this letter and solely for the Waiver Period. This waiver is one-off and does not amend the Facility Agreement except as expressly stated.</w:t>
      </w:r>
    </w:p>
    <w:p>
      <w:pPr>
        <w:pStyle w:val="BodyText"/>
      </w:pPr>
      <w:r>
        <w:rPr>
          <w:b w:val="off"/>
          <w:i w:val="off"/>
        </w:rPr>
        <w:t>No amendment of covenant levels: Except as expressly set out in this letter, the financial covenant levels, testing dates and definitions in the Facility Agreement remain unchanged.</w:t>
      </w:r>
    </w:p>
    <w:p>
      <w:pPr>
        <w:pStyle w:val="BodyText"/>
      </w:pPr>
      <w:r>
        <w:rPr>
          <w:b w:val="off"/>
          <w:i w:val="off"/>
        </w:rPr>
        <w:t>Consent Conditions: The waiver is conditional upon satisfaction of each Consent Condition by the stated deadline. If any Consent Condition is not satisfied, this waiver is void ab initio unless the Bank confirms otherwise in writing.</w:t>
      </w:r>
    </w:p>
    <w:p>
      <w:pPr>
        <w:pStyle w:val="BodyText"/>
      </w:pPr>
      <w:r>
        <w:rPr>
          <w:b w:val="off"/>
          <w:i w:val="off"/>
        </w:rPr>
        <w:t>Fee: The Borrower shall pay the waiver fee stated in this letter on or before the Waiver Effective Date.</w:t>
      </w:r>
    </w:p>
    <w:p>
      <w:pPr>
        <w:pStyle w:val="Heading2"/>
      </w:pPr>
      <w:r>
        <w:rPr>
          <w:b w:val="on"/>
          <w:i w:val="off"/>
        </w:rPr>
        <w:t xml:space="preserve">1 </w:t>
      </w:r>
      <w:r>
        <w:rPr>
          <w:b w:val="off"/>
          <w:i w:val="off"/>
        </w:rPr>
        <w:t>Scope and Duration</w:t>
      </w:r>
    </w:p>
    <w:p>
      <w:pPr>
        <w:pStyle w:val="ClauseBody"/>
      </w:pPr>
      <w:r>
        <w:rPr>
          <w:b w:val="off"/>
          <w:i w:val="off"/>
        </w:rPr>
        <w:t xml:space="preserve">This waiver applies solely to the Specified Covenant Breach for the Waiver Period ending </w:t>
      </w:r>
      <w:r>
        <w:rPr>
          <w:b w:val="on"/>
          <w:i w:val="off"/>
        </w:rPr>
        <w:t>2026-09-30</w:t>
      </w:r>
      <w:r>
        <w:rPr>
          <w:b w:val="off"/>
          <w:i w:val="off"/>
        </w:rPr>
        <w:t>. It does not waive any future testing period, any other covenant, or any Default other than the Specified Covenant Breach.</w:t>
      </w:r>
    </w:p>
    <w:p>
      <w:pPr>
        <w:pStyle w:val="ClauseBody"/>
      </w:pPr>
      <w:r>
        <w:rPr>
          <w:b w:val="off"/>
          <w:i w:val="off"/>
        </w:rPr>
        <w:t xml:space="preserve">The waiver fee of </w:t>
      </w:r>
      <w:r>
        <w:rPr>
          <w:b w:val="on"/>
          <w:i w:val="off"/>
        </w:rPr>
        <w:t>GBP</w:t>
      </w:r>
      <w:r>
        <w:rPr>
          <w:b w:val="off"/>
          <w:i w:val="off"/>
        </w:rPr>
        <w:t xml:space="preserve"> </w:t>
      </w:r>
      <w:r>
        <w:rPr>
          <w:b w:val="on"/>
          <w:i w:val="off"/>
        </w:rPr>
        <w:t>25,000.00</w:t>
      </w:r>
      <w:r>
        <w:rPr>
          <w:b w:val="off"/>
          <w:i w:val="off"/>
        </w:rPr>
        <w:t xml:space="preserve"> is payable on or before the Waiver Effective Date.</w:t>
      </w:r>
    </w:p>
    <w:p>
      <w:pPr>
        <w:pStyle w:val="Heading2"/>
      </w:pPr>
      <w:r>
        <w:rPr>
          <w:b w:val="on"/>
          <w:i w:val="off"/>
        </w:rPr>
        <w:t xml:space="preserve">1 </w:t>
      </w:r>
      <w:r>
        <w:rPr>
          <w:b w:val="off"/>
          <w:i w:val="off"/>
        </w:rPr>
        <w:t>Consent Conditions</w:t>
      </w:r>
    </w:p>
    <w:p>
      <w:pPr>
        <w:pStyle w:val="ClauseBody"/>
      </w:pPr>
      <w:r>
        <w:rPr>
          <w:b w:val="off"/>
          <w:i w:val="off"/>
        </w:rPr>
        <w:t>This waiver is conditional upon each of the following Consent Conditions:</w:t>
      </w:r>
    </w:p>
    <w:p>
      <w:r>
        <w:rPr>
          <w:b w:val="off"/>
          <w:i w:val="off"/>
        </w:rPr>
        <w:t>Payment of the waiver fee of GBP 25,000.00 on or before the Waiver Effective Date.</w:t>
      </w:r>
    </w:p>
    <w:p>
      <w:r>
        <w:rPr>
          <w:b w:val="off"/>
          <w:i w:val="off"/>
        </w:rPr>
        <w:t>Delivery of a board-approved remediation plan restoring leverage compliance by the Waiver End Date.</w:t>
      </w:r>
    </w:p>
    <w:p>
      <w:r>
        <w:rPr>
          <w:b w:val="off"/>
          <w:i w:val="off"/>
        </w:rPr>
        <w:t>No other Event of Default is continuing on the Waiver Effective Date.</w:t>
      </w:r>
    </w:p>
    <w:p>
      <w:r>
        <w:rPr>
          <w:b w:val="off"/>
          <w:i w:val="off"/>
        </w:rPr>
        <w:t>Guarantor acknowledgement (if any) confirming the guarantee remains in full force and effect.</w:t>
      </w:r>
    </w:p>
    <w:p>
      <w:pPr>
        <w:sectPr>
          <w:type w:val="nextPage"/>
          <w:pgNumType w:start="1"/>
        </w:sectPr>
      </w:pPr>
    </w:p>
    <w:p>
      <w:pPr>
        <w:jc w:val="left"/>
      </w:pPr>
      <w:r>
        <w:rPr>
          <w:b w:val="on"/>
          <w:sz w:val="24"/>
        </w:rPr>
        <w:t>Reservation and Closing</w:t>
      </w:r>
    </w:p>
    <w:p>
      <w:pPr>
        <w:pStyle w:val="Heading2"/>
      </w:pPr>
      <w:r>
        <w:rPr>
          <w:b w:val="on"/>
          <w:i w:val="off"/>
        </w:rPr>
        <w:t xml:space="preserve">1 </w:t>
      </w:r>
      <w:r>
        <w:rPr>
          <w:b w:val="off"/>
          <w:i w:val="off"/>
        </w:rPr>
        <w:t>Reservation of Rights / Non-Waiver of Other Defaults</w:t>
      </w:r>
    </w:p>
    <w:p>
      <w:pPr>
        <w:pStyle w:val="BodyText"/>
      </w:pPr>
      <w:r>
        <w:rPr>
          <w:b w:val="off"/>
          <w:i w:val="off"/>
        </w:rPr>
        <w:t>Reservation of rights: Except for the Specified Covenant Breach expressly waived herein, the Bank reserves all rights and remedies in respect of any other Default or Event of Default, whether known or unknown, continuing or prospective.</w:t>
      </w:r>
    </w:p>
    <w:p>
      <w:pPr>
        <w:pStyle w:val="BodyText"/>
      </w:pPr>
      <w:r>
        <w:rPr>
          <w:b w:val="off"/>
          <w:i w:val="off"/>
        </w:rPr>
        <w:t>No course of dealing: This waiver does not establish a course of dealing or entitle the Borrower to expect any future waiver, consent or amendment.</w:t>
      </w:r>
    </w:p>
    <w:p>
      <w:pPr>
        <w:pStyle w:val="BodyText"/>
      </w:pPr>
      <w:r>
        <w:rPr>
          <w:b w:val="off"/>
          <w:i w:val="off"/>
        </w:rPr>
        <w:t>Reaffirmation: The Borrower and each Guarantor reaffirm their obligations under the Finance Documents and confirm that Security remains in full force and effect.</w:t>
      </w:r>
    </w:p>
    <w:p>
      <w:pPr>
        <w:pStyle w:val="BodyText"/>
      </w:pPr>
      <w:r>
        <w:rPr>
          <w:b w:val="off"/>
          <w:i w:val="off"/>
        </w:rPr>
        <w:t>Chinese (摘要): 本豁免仅针对本函载明的特定契约违约及豁免期限；不构成对其余违约的弃权，亦不构成对授信协议的持续修订。</w:t>
      </w:r>
    </w:p>
    <w:p>
      <w:pPr>
        <w:pStyle w:val="Heading2"/>
      </w:pPr>
      <w:r>
        <w:rPr>
          <w:b w:val="on"/>
          <w:i w:val="off"/>
        </w:rPr>
        <w:t xml:space="preserve">1 </w:t>
      </w:r>
      <w:r>
        <w:rPr>
          <w:b w:val="off"/>
          <w:i w:val="off"/>
        </w:rPr>
        <w:t>Governing Law and Jurisdiction</w:t>
      </w:r>
    </w:p>
    <w:p>
      <w:pPr>
        <w:pStyle w:val="ClauseBody"/>
      </w:pPr>
      <w:r>
        <w:rPr>
          <w:b w:val="off"/>
          <w:i w:val="off"/>
        </w:rPr>
        <w:t xml:space="preserve">This letter and any non-contractual obligations arising out of or in connection with it are governed by </w:t>
      </w:r>
      <w:r>
        <w:rPr>
          <w:b w:val="on"/>
          <w:i w:val="off"/>
        </w:rPr>
        <w:t>English law</w:t>
      </w:r>
      <w:r>
        <w:rPr>
          <w:b w:val="off"/>
          <w:i w:val="off"/>
        </w:rPr>
        <w:t>.</w:t>
      </w:r>
    </w:p>
    <w:p>
      <w:pPr>
        <w:pStyle w:val="ClauseBody"/>
      </w:pPr>
      <w:r>
        <w:rPr>
          <w:b w:val="off"/>
          <w:i w:val="off"/>
        </w:rPr>
        <w:t xml:space="preserve">The courts of </w:t>
      </w:r>
      <w:r>
        <w:rPr>
          <w:b w:val="off"/>
          <w:i w:val="off"/>
          <w:u w:val="single"/>
        </w:rPr>
        <w:t>England and Wales</w:t>
      </w:r>
      <w:r>
        <w:rPr>
          <w:b w:val="off"/>
          <w:i w:val="off"/>
        </w:rPr>
        <w:t xml:space="preserve"> have exclusive jurisdiction to settle any dispute arising out of or in connection with this letter. Nothing in this clause limits the right of the Bank to take proceedings in any other court of competent jurisdiction.</w:t>
      </w:r>
    </w:p>
    <w:p>
      <w:pPr>
        <w:pStyle w:val="Heading2"/>
      </w:pPr>
      <w:r>
        <w:rPr>
          <w:b w:val="on"/>
          <w:i w:val="off"/>
        </w:rPr>
        <w:t xml:space="preserve">1 </w:t>
      </w:r>
      <w:r>
        <w:rPr>
          <w:b w:val="off"/>
          <w:i w:val="off"/>
        </w:rPr>
        <w:t>Authorised Signatory</w:t>
      </w:r>
    </w:p>
    <w:p>
      <w:pPr>
        <w:pStyle w:val="ClauseBody"/>
      </w:pPr>
      <w:r>
        <w:rPr>
          <w:b w:val="off"/>
          <w:i w:val="off"/>
        </w:rPr>
        <w:t>Please acknowledge receipt of this letter by countersigning and returning an executed copy within ten Business Days of the date of this letter.</w:t>
      </w:r>
    </w:p>
    <w:p>
      <w:pPr>
        <w:pStyle w:val="SignatureBlock"/>
      </w:pPr>
      <w:r>
        <w:rPr>
          <w:b w:val="off"/>
          <w:i w:val="off"/>
        </w:rPr>
        <w:t>Yours faithfully,</w:t>
      </w:r>
    </w:p>
    <w:p>
      <w:pPr>
        <w:pStyle w:val="SignatureBlock"/>
      </w:pPr>
      <w:r>
        <w:rPr>
          <w:b w:val="off"/>
          <w:i w:val="off"/>
        </w:rPr>
        <w:t xml:space="preserve">For and on behalf of </w:t>
      </w:r>
      <w:r>
        <w:rPr>
          <w:b w:val="on"/>
          <w:i w:val="off"/>
        </w:rPr>
        <w:t>Meridian Global Banking Corporation</w:t>
      </w:r>
    </w:p>
    <w:p>
      <w:pPr>
        <w:pStyle w:val="SignatureBlock"/>
      </w:pPr>
      <w:r>
        <w:rPr>
          <w:b w:val="off"/>
          <w:i w:val="off"/>
        </w:rPr>
        <w:t>_____________________________</w:t>
      </w:r>
    </w:p>
    <w:p>
      <w:pPr>
        <w:pStyle w:val="SignatureBlock"/>
      </w:pPr>
      <w:r>
        <w:rPr>
          <w:b w:val="on"/>
          <w:i w:val="off"/>
        </w:rPr>
        <w:t>Jonathan A. Whitmore</w:t>
      </w:r>
    </w:p>
    <w:p>
      <w:pPr>
        <w:pStyle w:val="SignatureBlock"/>
      </w:pPr>
      <w:r>
        <w:rPr>
          <w:b w:val="off"/>
          <w:i w:val="off"/>
        </w:rPr>
        <w:t>Director, Corporate Credit — Wholesale Banking</w:t>
      </w:r>
    </w:p>
    <w:p>
      <w:pPr>
        <w:pStyle w:val="SignatureBlock"/>
      </w:pPr>
      <w:r>
        <w:rPr>
          <w:b w:val="off"/>
          <w:i w:val="off"/>
        </w:rPr>
        <w:t>25 Lombard Street, London EC3V 9AA, United Kingdom</w:t>
      </w:r>
    </w:p>
    <w:sectPr>
      <main:headerReference xmlns:main="http://schemas.openxmlformats.org/wordprocessingml/2006/main" xmlns:rel="http://schemas.openxmlformats.org/officeDocument/2006/relationships" main:type="default" rel:id="rId3"/>
      <main:footerReference xmlns:main="http://schemas.openxmlformats.org/wordprocessingml/2006/main" xmlns:rel="http://schemas.openxmlformats.org/officeDocument/2006/relationships" main:type="default" rel:id="rId4"/>
      <main:pgSz xmlns:main="http://schemas.openxmlformats.org/wordprocessingml/2006/main" main:w="11906" main:h="16838"/>
      <main:pgMar xmlns:main="http://schemas.openxmlformats.org/wordprocessingml/2006/main" main:top="1440" main:bottom="1440" main:left="1440" main:right="1440" main:header="708" main:footer="708" main:gutter="0"/>
    </w:sectPr>
  </w:body>
</w:document>
</file>

<file path=word/footer1.xml><?xml version="1.0" encoding="utf-8"?>
<w:ftr xmlns:w="http://schemas.openxmlformats.org/wordprocessingml/2006/main">
  <w:p>
    <w:pPr>
      <w:jc w:val="left"/>
    </w:pPr>
    <w:r>
      <w:rPr>
        <w:sz w:val="14"/>
        <w:color w:val="666666"/>
      </w:rPr>
      <w:t>25 Lombard Street, London EC3V 9AA  |  www.meridian-global.example  |  Regulated by the PRA &amp; FCA</w:t>
    </w:r>
  </w:p>
  <w:p>
    <w:pPr>
      <w:jc w:val="center"/>
    </w:pPr>
    <w:r>
      <w:rPr>
        <w:sz w:val="16"/>
        <w:rFonts w:ascii="Calibri" w:hAnsi="Calibri" w:cs="Calibri" w:eastAsia="Calibri"/>
      </w:rPr>
      <w:t xml:space="preserve">Section Page </w:t>
    </w:r>
    <w:r>
      <w:fldChar w:fldCharType="begin"/>
    </w:r>
    <w:r>
      <w:instrText> PAGE \* MERGEFORMAT </w:instrText>
    </w:r>
    <w:r>
      <w:fldChar w:fldCharType="separate"/>
    </w:r>
    <w:r>
      <w:t>1</w:t>
    </w:r>
    <w:r>
      <w:fldChar w:fldCharType="end"/>
    </w:r>
    <w:r>
      <w:rPr>
        <w:sz w:val="16"/>
        <w:rFonts w:ascii="Calibri" w:hAnsi="Calibri" w:cs="Calibri" w:eastAsia="Calibri"/>
      </w:rPr>
      <w:t xml:space="preserve"> of </w:t>
    </w:r>
    <w:r>
      <w:fldChar w:fldCharType="begin"/>
    </w:r>
    <w:r>
      <w:instrText> SECTIONPAGES \* MERGEFORMAT </w:instrText>
    </w:r>
    <w:r>
      <w:fldChar w:fldCharType="separate"/>
    </w:r>
    <w:r>
      <w:t>1</w:t>
    </w:r>
    <w:r>
      <w:fldChar w:fldCharType="end"/>
    </w:r>
    <w:r>
      <w:rPr>
        <w:sz w:val="16"/>
        <w:rFonts w:ascii="Calibri" w:hAnsi="Calibri" w:cs="Calibri" w:eastAsia="Calibri"/>
      </w:rPr>
      <w:t xml:space="preserve">  |  Document Page </w:t>
    </w:r>
    <w:r>
      <w:fldChar w:fldCharType="begin"/>
    </w:r>
    <w:r>
      <w:instrText> PAGE \* MERGEFORMAT </w:instrText>
    </w:r>
    <w:r>
      <w:fldChar w:fldCharType="separate"/>
    </w:r>
    <w:r>
      <w:t>1</w:t>
    </w:r>
    <w:r>
      <w:fldChar w:fldCharType="end"/>
    </w:r>
    <w:r>
      <w:rPr>
        <w:sz w:val="16"/>
        <w:rFonts w:ascii="Calibri" w:hAnsi="Calibri" w:cs="Calibri" w:eastAsia="Calibri"/>
      </w:rPr>
      <w:t xml:space="preserve"> of </w:t>
    </w:r>
    <w:r>
      <w:fldChar w:fldCharType="begin"/>
    </w:r>
    <w:r>
      <w:instrText> NUMPAGES \* MERGEFORMAT </w:instrText>
    </w:r>
    <w:r>
      <w:fldChar w:fldCharType="separate"/>
    </w:r>
    <w:r>
      <w:t>1</w:t>
    </w:r>
    <w:r>
      <w:fldChar w:fldCharType="end"/>
    </w:r>
  </w:p>
</w:ftr>
</file>

<file path=word/header1.xml><?xml version="1.0" encoding="utf-8"?>
<w:hdr xmlns:w="http://schemas.openxmlformats.org/wordprocessingml/2006/main">
  <w:p>
    <w:pPr>
      <w:jc w:val="left"/>
    </w:pPr>
    <w:r>
      <w:rPr>
        <w:b w:val="on"/>
        <w:sz w:val="18"/>
        <w:color w:val="003366"/>
      </w:rPr>
      <w:t>Meridian Global Banking Corporation — Corporate Credit</w:t>
    </w:r>
  </w:p>
  <w:p>
    <w:pPr>
      <w:jc w:val="right"/>
    </w:pPr>
    <w:r>
      <w:rPr>
        <w:b w:val="on"/>
        <w:sz w:val="14"/>
        <w:color w:val="990000"/>
      </w:rPr>
      <w:t>STRICTLY PRIVATE AND CONFIDENTIAL</w:t>
    </w:r>
  </w:p>
</w:hdr>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Calibri" w:hAnsi="Calibri" w:cs="Calibri" w:eastAsia="Calibri"/>
        <w:sz w:val="20"/>
        <w:szCs w:val="20"/>
        <w:color w:val="000000"/>
        <w:lang w:val="en-US" w:bidi="en-US"/>
      </w:rPr>
    </w:rPrDefault>
    <w:pPrDefault>
      <w:pPr/>
    </w:pPrDefault>
  </w:docDefaults>
  <w:style w:type="paragraph" w:styleId="Normal" w:default="true">
    <w:name w:val="Normal"/>
    <w:qFormat/>
    <w:rPr>
      <w:rFonts w:ascii="Calibri" w:hAnsi="Calibri" w:cs="Calibri" w:eastAsia="Calibri"/>
      <w:sz w:val="20"/>
      <w:szCs w:val="20"/>
      <w:color w:val="000000"/>
      <w:lang w:val="en-US"/>
    </w:rPr>
  </w:style>
  <w:style w:type="paragraph" w:styleId="Heading1">
    <w:name w:val="Heading1"/>
    <w:qFormat/>
    <w:rPr>
      <w:sz w:val="32"/>
      <w:rFonts w:ascii="Cambria" w:hAnsi="Cambria" w:cs="Cambria" w:eastAsia="Cambria"/>
      <w:b/>
    </w:rPr>
  </w:style>
  <w:style w:type="paragraph" w:styleId="Heading2">
    <w:name w:val="Heading2"/>
    <w:qFormat/>
    <w:rPr>
      <w:sz w:val="28"/>
      <w:rFonts w:ascii="Cambria" w:hAnsi="Cambria" w:cs="Cambria" w:eastAsia="Cambria"/>
      <w:b/>
    </w:rPr>
  </w:style>
  <w:style w:type="paragraph" w:styleId="Heading3">
    <w:name w:val="Heading3"/>
    <w:qFormat/>
    <w:rPr>
      <w:sz w:val="24"/>
      <w:rFonts w:ascii="Cambria" w:hAnsi="Cambria" w:cs="Cambria" w:eastAsia="Cambria"/>
      <w:b/>
    </w:rPr>
  </w:style>
  <w:style w:type="paragraph" w:styleId="ClauseBody">
    <w:name w:val="ClauseBody"/>
    <w:qFormat/>
    <w:rPr>
      <w:sz w:val="20"/>
      <w:rFonts w:ascii="Calibri" w:hAnsi="Calibri" w:cs="Calibri" w:eastAsia="Calibri"/>
    </w:rPr>
  </w:style>
  <w:style w:type="paragraph" w:styleId="DefinedTerm">
    <w:name w:val="DefinedTerm"/>
    <w:qFormat/>
    <w:rPr>
      <w:sz w:val="20"/>
      <w:rFonts w:ascii="Calibri" w:hAnsi="Calibri" w:cs="Calibri" w:eastAsia="Calibri"/>
      <w:b/>
    </w:rPr>
  </w:style>
  <w:style w:type="paragraph" w:styleId="TableHeader">
    <w:name w:val="TableHeader"/>
    <w:qFormat/>
    <w:rPr>
      <w:sz w:val="20"/>
      <w:rFonts w:ascii="Calibri" w:hAnsi="Calibri" w:cs="Calibri" w:eastAsia="Calibri"/>
      <w:b/>
    </w:rPr>
  </w:style>
  <w:style w:type="paragraph" w:styleId="ScheduleTitle">
    <w:name w:val="ScheduleTitle"/>
    <w:qFormat/>
    <w:rPr>
      <w:sz w:val="26"/>
      <w:rFonts w:ascii="Cambria" w:hAnsi="Cambria" w:cs="Cambria" w:eastAsia="Cambria"/>
      <w:b/>
    </w:rPr>
  </w:style>
  <w:style w:type="paragraph" w:styleId="SignatureBlock">
    <w:name w:val="SignatureBlock"/>
    <w:qFormat/>
    <w:rPr>
      <w:sz w:val="20"/>
      <w:rFonts w:ascii="Calibri" w:hAnsi="Calibri" w:cs="Calibri" w:eastAsia="Calibri"/>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eader1.xml" Type="http://schemas.openxmlformats.org/officeDocument/2006/relationships/header"/><Relationship Id="rId4"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2026-07-20T11:00:42Z</dcterms:created>
  <dc:creator>Apache POI</dc:creator>
</cp:coreProperties>
</file>