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w:body>
    <w:p>
      <w:pPr>
        <w:jc w:val="center"/>
      </w:pPr>
      <w:r>
        <w:rPr>
          <w:b w:val="on"/>
          <w:sz w:val="28"/>
        </w:rPr>
        <w:t>Insurance Endorsement / Security Insurance Notice</w:t>
      </w:r>
    </w:p>
    <w:p>
      <w:pPr>
        <w:jc w:val="left"/>
      </w:pPr>
      <w:r>
        <w:rPr>
          <w:b w:val="on"/>
          <w:sz w:val="24"/>
        </w:rPr>
        <w:t>Parties</w:t>
      </w:r>
    </w:p>
    <w:p>
      <w:pPr>
        <w:pStyle w:val="ClauseBody"/>
      </w:pPr>
      <w:r>
        <w:rPr>
          <w:b w:val="off"/>
          <w:i w:val="off"/>
        </w:rPr>
        <w:t xml:space="preserve">Date: </w:t>
      </w:r>
      <w:r>
        <w:rPr>
          <w:b w:val="off"/>
          <w:i w:val="off"/>
        </w:rPr>
        <w:t>2026-07-20</w:t>
      </w:r>
    </w:p>
    <w:p>
      <w:pPr>
        <w:pStyle w:val="ClauseBody"/>
      </w:pPr>
      <w:r>
        <w:rPr>
          <w:b w:val="off"/>
          <w:i w:val="off"/>
        </w:rPr>
        <w:t xml:space="preserve">To: </w:t>
      </w:r>
      <w:r>
        <w:rPr>
          <w:b w:val="on"/>
          <w:i w:val="off"/>
        </w:rPr>
        <w:t>Oliver Hartley</w:t>
      </w:r>
    </w:p>
    <w:p>
      <w:pPr>
        <w:pStyle w:val="ClauseBody"/>
      </w:pPr>
      <w:r>
        <w:rPr>
          <w:b w:val="off"/>
          <w:i w:val="off"/>
        </w:rPr>
        <w:t>18 Willow Close, Cambridge CB1 3RT</w:t>
      </w:r>
    </w:p>
    <w:p>
      <w:pPr>
        <w:pStyle w:val="ClauseBody"/>
      </w:pPr>
      <w:r>
        <w:rPr>
          <w:b w:val="off"/>
          <w:i w:val="off"/>
        </w:rPr>
        <w:t xml:space="preserve">Dear </w:t>
      </w:r>
      <w:r>
        <w:rPr>
          <w:b w:val="off"/>
          <w:i w:val="off"/>
        </w:rPr>
        <w:t>Oliver Hartley</w:t>
      </w:r>
      <w:r>
        <w:rPr>
          <w:b w:val="off"/>
          <w:i w:val="off"/>
        </w:rPr>
        <w:t>,</w:t>
      </w:r>
    </w:p>
    <w:p>
      <w:pPr>
        <w:pStyle w:val="ClauseBody"/>
      </w:pPr>
      <w:r>
        <w:rPr>
          <w:b w:val="off"/>
          <w:i w:val="off"/>
        </w:rPr>
        <w:t xml:space="preserve">Re: Insurance Endorsement / Security Insurance Notice — Mortgage Reference </w:t>
      </w:r>
      <w:r>
        <w:rPr>
          <w:b w:val="off"/>
          <w:i w:val="off"/>
          <w:u w:val="single"/>
        </w:rPr>
        <w:t>MORT-2026-UHF-55201</w:t>
      </w:r>
    </w:p>
    <w:p>
      <w:pPr>
        <w:pStyle w:val="ClauseBody"/>
      </w:pPr>
      <w:r>
        <w:rPr>
          <w:b w:val="off"/>
          <w:i w:val="off"/>
        </w:rPr>
        <w:t xml:space="preserve">We, </w:t>
      </w:r>
      <w:r>
        <w:rPr>
          <w:b w:val="on"/>
          <w:i w:val="off"/>
        </w:rPr>
        <w:t>Meridian Retail Banking</w:t>
      </w:r>
      <w:r>
        <w:rPr>
          <w:b w:val="off"/>
          <w:i w:val="off"/>
        </w:rPr>
        <w:t xml:space="preserve"> of </w:t>
      </w:r>
      <w:r>
        <w:rPr>
          <w:b w:val="off"/>
          <w:i w:val="off"/>
        </w:rPr>
        <w:t>1 Churchill Place, London E14 5HP, United Kingdom</w:t>
      </w:r>
      <w:r>
        <w:rPr>
          <w:b w:val="off"/>
          <w:i w:val="off"/>
        </w:rPr>
        <w:t xml:space="preserve"> (the Lender), acting through </w:t>
      </w:r>
      <w:r>
        <w:rPr>
          <w:b w:val="off"/>
          <w:i w:val="off"/>
        </w:rPr>
        <w:t>Meridian Home Finance — Security &amp; Insurance Servicing</w:t>
      </w:r>
      <w:r>
        <w:rPr>
          <w:b w:val="off"/>
          <w:i w:val="off"/>
        </w:rPr>
        <w:t>, write regarding buildings insurance for the property securing your mortgage.</w:t>
      </w:r>
    </w:p>
    <w:p>
      <w:pPr>
        <w:sectPr>
          <w:type w:val="nextPage"/>
          <w:pgNumType w:start="1"/>
        </w:sectPr>
      </w:pPr>
    </w:p>
    <w:p>
      <w:pPr>
        <w:jc w:val="left"/>
      </w:pPr>
      <w:r>
        <w:rPr>
          <w:b w:val="on"/>
          <w:sz w:val="24"/>
        </w:rPr>
        <w:t>Property and Definitions</w:t>
      </w:r>
    </w:p>
    <w:p>
      <w:pPr>
        <w:pStyle w:val="Heading2"/>
      </w:pPr>
      <w:r>
        <w:rPr>
          <w:b w:val="on"/>
          <w:i w:val="off"/>
        </w:rPr>
        <w:t xml:space="preserve">1 </w:t>
      </w:r>
      <w:r>
        <w:rPr>
          <w:b w:val="off"/>
          <w:i w:val="off"/>
        </w:rPr>
        <w:t>Secured Property</w:t>
      </w:r>
    </w:p>
    <w:p>
      <w:pPr>
        <w:pStyle w:val="ClauseBody"/>
      </w:pPr>
      <w:r>
        <w:rPr>
          <w:b w:val="off"/>
          <w:i w:val="off"/>
        </w:rPr>
        <w:t xml:space="preserve">The Secured Property is </w:t>
      </w:r>
      <w:r>
        <w:rPr>
          <w:b w:val="on"/>
          <w:i w:val="off"/>
        </w:rPr>
        <w:t>18 Willow Close, Cambridge CB1 3RT</w:t>
      </w:r>
      <w:r>
        <w:rPr>
          <w:b w:val="off"/>
          <w:i w:val="off"/>
        </w:rPr>
        <w:t xml:space="preserve">, charged as security for the mortgage identified by reference </w:t>
      </w:r>
      <w:r>
        <w:rPr>
          <w:b w:val="off"/>
          <w:i w:val="off"/>
          <w:u w:val="single"/>
        </w:rPr>
        <w:t>MORT-2026-UHF-55201</w:t>
      </w:r>
      <w:r>
        <w:rPr>
          <w:b w:val="off"/>
          <w:i w:val="off"/>
        </w:rPr>
        <w:t>.</w:t>
      </w:r>
    </w:p>
    <w:p>
      <w:pPr>
        <w:pStyle w:val="Heading2"/>
      </w:pPr>
      <w:r>
        <w:rPr>
          <w:b w:val="on"/>
          <w:i w:val="off"/>
        </w:rPr>
        <w:t xml:space="preserve">1 </w:t>
      </w:r>
      <w:r>
        <w:rPr>
          <w:b w:val="off"/>
          <w:i w:val="off"/>
        </w:rPr>
        <w:t>Defined Terms</w:t>
      </w:r>
    </w:p>
    <w:p>
      <w:pPr>
        <w:pStyle w:val="DefinedTerm"/>
      </w:pPr>
      <w:r>
        <w:rPr>
          <w:b w:val="off"/>
          <w:i w:val="off"/>
        </w:rPr>
        <w:t>"Secured Property"</w:t>
      </w:r>
      <w:r>
        <w:rPr>
          <w:b w:val="off"/>
          <w:i w:val="off"/>
        </w:rPr>
        <w:t xml:space="preserve"> means </w:t>
      </w:r>
      <w:r>
        <w:rPr>
          <w:b w:val="on"/>
          <w:i w:val="off"/>
        </w:rPr>
        <w:t>18 Willow Close, Cambridge CB1 3RT</w:t>
      </w:r>
      <w:r>
        <w:rPr>
          <w:b w:val="off"/>
          <w:i w:val="off"/>
        </w:rPr>
        <w:t>.</w:t>
      </w:r>
    </w:p>
    <w:p>
      <w:pPr>
        <w:pStyle w:val="DefinedTerm"/>
      </w:pPr>
      <w:r>
        <w:rPr>
          <w:b w:val="off"/>
          <w:i w:val="off"/>
        </w:rPr>
        <w:t>"Required Sum Insured"</w:t>
      </w:r>
      <w:r>
        <w:rPr>
          <w:b w:val="off"/>
          <w:i w:val="off"/>
        </w:rPr>
        <w:t xml:space="preserve"> means </w:t>
      </w:r>
      <w:r>
        <w:rPr>
          <w:b w:val="on"/>
          <w:i w:val="off"/>
        </w:rPr>
        <w:t>GBP</w:t>
      </w:r>
      <w:r>
        <w:rPr>
          <w:b w:val="off"/>
          <w:i w:val="off"/>
        </w:rPr>
        <w:t xml:space="preserve"> </w:t>
      </w:r>
      <w:r>
        <w:rPr>
          <w:b w:val="on"/>
          <w:i w:val="off"/>
        </w:rPr>
        <w:t>485,000.00</w:t>
      </w:r>
      <w:r>
        <w:rPr>
          <w:b w:val="off"/>
          <w:i w:val="off"/>
        </w:rPr>
        <w:t xml:space="preserve"> (reinstatement basis), or such higher amount as the Lender may reasonably require.</w:t>
      </w:r>
    </w:p>
    <w:p>
      <w:pPr>
        <w:pStyle w:val="DefinedTerm"/>
      </w:pPr>
      <w:r>
        <w:rPr>
          <w:b w:val="off"/>
          <w:i w:val="off"/>
        </w:rPr>
        <w:t>"Response Deadline"</w:t>
      </w:r>
      <w:r>
        <w:rPr>
          <w:b w:val="off"/>
          <w:i w:val="off"/>
        </w:rPr>
        <w:t xml:space="preserve"> means </w:t>
      </w:r>
      <w:r>
        <w:rPr>
          <w:b w:val="off"/>
          <w:i w:val="off"/>
        </w:rPr>
        <w:t>2026-08-10</w:t>
      </w:r>
      <w:r>
        <w:rPr>
          <w:b w:val="off"/>
          <w:i w:val="off"/>
        </w:rPr>
        <w:t>.</w:t>
      </w:r>
    </w:p>
    <w:p>
      <w:pPr>
        <w:pStyle w:val="DefinedTerm"/>
      </w:pPr>
      <w:r>
        <w:rPr>
          <w:b w:val="off"/>
          <w:i w:val="off"/>
        </w:rPr>
        <w:t>"Policy"</w:t>
      </w:r>
      <w:r>
        <w:rPr>
          <w:b w:val="off"/>
          <w:i w:val="off"/>
        </w:rPr>
        <w:t xml:space="preserve"> means buildings insurance policy number </w:t>
      </w:r>
      <w:r>
        <w:rPr>
          <w:b w:val="off"/>
          <w:i w:val="off"/>
          <w:u w:val="single"/>
        </w:rPr>
        <w:t>NHI-BLD-77821904</w:t>
      </w:r>
      <w:r>
        <w:rPr>
          <w:b w:val="off"/>
          <w:i w:val="off"/>
        </w:rPr>
        <w:t xml:space="preserve"> issued by </w:t>
      </w:r>
      <w:r>
        <w:rPr>
          <w:b w:val="off"/>
          <w:i w:val="off"/>
        </w:rPr>
        <w:t>Northbridge Household Insurance plc</w:t>
      </w:r>
      <w:r>
        <w:rPr>
          <w:b w:val="off"/>
          <w:i w:val="off"/>
        </w:rPr>
        <w:t xml:space="preserve">, expiring on </w:t>
      </w:r>
      <w:r>
        <w:rPr>
          <w:b w:val="off"/>
          <w:i w:val="off"/>
        </w:rPr>
        <w:t>2027-03-31</w:t>
      </w:r>
      <w:r>
        <w:rPr>
          <w:b w:val="off"/>
          <w:i w:val="off"/>
        </w:rPr>
        <w:t>.</w:t>
      </w:r>
    </w:p>
    <w:p>
      <w:pPr>
        <w:sectPr>
          <w:type w:val="nextPage"/>
          <w:pgNumType w:start="1"/>
        </w:sectPr>
      </w:pPr>
    </w:p>
    <w:p>
      <w:pPr>
        <w:jc w:val="left"/>
      </w:pPr>
      <w:r>
        <w:rPr>
          <w:b w:val="on"/>
          <w:sz w:val="24"/>
        </w:rPr>
        <w:t>Policy and Bank Interest</w:t>
      </w:r>
    </w:p>
    <w:p>
      <w:pPr>
        <w:pStyle w:val="Heading2"/>
      </w:pPr>
      <w:r>
        <w:rPr>
          <w:b w:val="on"/>
          <w:i w:val="off"/>
        </w:rPr>
        <w:t xml:space="preserve">1 </w:t>
      </w:r>
      <w:r>
        <w:rPr>
          <w:b w:val="off"/>
          <w:i w:val="off"/>
        </w:rPr>
        <w:t>Policy Particulars</w:t>
      </w:r>
    </w:p>
    <w:p>
      <w:pPr>
        <w:pStyle w:val="ClauseBody"/>
      </w:pPr>
      <w:r>
        <w:rPr>
          <w:b w:val="off"/>
          <w:i w:val="off"/>
        </w:rPr>
        <w:t xml:space="preserve">Our records show (or you have advised) that the buildings insurance for the Secured Property is underwritten by </w:t>
      </w:r>
      <w:r>
        <w:rPr>
          <w:b w:val="on"/>
          <w:i w:val="off"/>
        </w:rPr>
        <w:t>Northbridge Household Insurance plc</w:t>
      </w:r>
      <w:r>
        <w:rPr>
          <w:b w:val="off"/>
          <w:i w:val="off"/>
        </w:rPr>
        <w:t xml:space="preserve"> under policy number </w:t>
      </w:r>
      <w:r>
        <w:rPr>
          <w:b w:val="off"/>
          <w:i w:val="off"/>
          <w:u w:val="single"/>
        </w:rPr>
        <w:t>NHI-BLD-77821904</w:t>
      </w:r>
      <w:r>
        <w:rPr>
          <w:b w:val="off"/>
          <w:i w:val="off"/>
        </w:rPr>
        <w:t xml:space="preserve">, with a stated expiry of </w:t>
      </w:r>
      <w:r>
        <w:rPr>
          <w:b w:val="off"/>
          <w:i w:val="off"/>
        </w:rPr>
        <w:t>2027-03-31</w:t>
      </w:r>
      <w:r>
        <w:rPr>
          <w:b w:val="off"/>
          <w:i w:val="off"/>
        </w:rPr>
        <w:t>.</w:t>
      </w:r>
    </w:p>
    <w:p>
      <w:pPr>
        <w:pStyle w:val="ScheduleTitle"/>
      </w:pPr>
      <w:r>
        <w:rPr>
          <w:b w:val="off"/>
          <w:i w:val="off"/>
        </w:rPr>
        <w:t>Schedule 1 — Insurance Endorsement Particulars</w:t>
      </w:r>
    </w:p>
    <w:p/>
    <w:tbl>
      <w:tblPr>
        <w:tblW w:w="0" w:type="auto"/>
        <w:tblBorders>
          <w:top w:val="single"/>
          <w:left w:val="single"/>
          <w:bottom w:val="single"/>
          <w:right w:val="single"/>
          <w:insideH w:val="single"/>
          <w:insideV w:val="single"/>
        </w:tblBorders>
      </w:tblPr>
      <w:tr>
        <w:tc>
          <w:p>
            <w:pPr>
              <w:pStyle w:val="TableHeader"/>
            </w:pPr>
            <w:r>
              <w:rPr>
                <w:b w:val="on"/>
                <w:i w:val="off"/>
              </w:rPr>
              <w:t>Item</w:t>
            </w:r>
          </w:p>
        </w:tc>
        <w:tc>
          <w:p>
            <w:pPr>
              <w:pStyle w:val="TableHeader"/>
            </w:pPr>
            <w:r>
              <w:rPr>
                <w:b w:val="on"/>
                <w:i w:val="off"/>
              </w:rPr>
              <w:t>Detail</w:t>
            </w:r>
          </w:p>
        </w:tc>
      </w:tr>
      <w:tr>
        <w:tc>
          <w:p>
            <w:r>
              <w:rPr>
                <w:b w:val="off"/>
                <w:i w:val="off"/>
              </w:rPr>
              <w:t>Policy type</w:t>
            </w:r>
          </w:p>
        </w:tc>
        <w:tc>
          <w:p>
            <w:r>
              <w:rPr>
                <w:b w:val="off"/>
                <w:i w:val="off"/>
              </w:rPr>
              <w:t>Buildings insurance — reinstatement</w:t>
            </w:r>
          </w:p>
        </w:tc>
      </w:tr>
      <w:tr>
        <w:tc>
          <w:p>
            <w:r>
              <w:rPr>
                <w:b w:val="off"/>
                <w:i w:val="off"/>
              </w:rPr>
              <w:t>Insurer</w:t>
            </w:r>
          </w:p>
        </w:tc>
        <w:tc>
          <w:p>
            <w:r>
              <w:rPr>
                <w:b w:val="off"/>
                <w:i w:val="off"/>
              </w:rPr>
              <w:t>Northbridge Household Insurance plc</w:t>
            </w:r>
          </w:p>
        </w:tc>
      </w:tr>
      <w:tr>
        <w:tc>
          <w:p>
            <w:r>
              <w:rPr>
                <w:b w:val="off"/>
                <w:i w:val="off"/>
              </w:rPr>
              <w:t>Policy number</w:t>
            </w:r>
          </w:p>
        </w:tc>
        <w:tc>
          <w:p>
            <w:r>
              <w:rPr>
                <w:b w:val="off"/>
                <w:i w:val="off"/>
              </w:rPr>
              <w:t>NHI-BLD-77821904</w:t>
            </w:r>
          </w:p>
        </w:tc>
      </w:tr>
      <w:tr>
        <w:tc>
          <w:p>
            <w:r>
              <w:rPr>
                <w:b w:val="off"/>
                <w:i w:val="off"/>
              </w:rPr>
              <w:t>Required sum insured</w:t>
            </w:r>
          </w:p>
        </w:tc>
        <w:tc>
          <w:p>
            <w:r>
              <w:rPr>
                <w:b w:val="off"/>
                <w:i w:val="off"/>
              </w:rPr>
              <w:t>GBP 485,000.00</w:t>
            </w:r>
          </w:p>
        </w:tc>
      </w:tr>
      <w:tr>
        <w:tc>
          <w:p>
            <w:r>
              <w:rPr>
                <w:b w:val="off"/>
                <w:i w:val="off"/>
              </w:rPr>
              <w:t>Lender interest</w:t>
            </w:r>
          </w:p>
        </w:tc>
        <w:tc>
          <w:p>
            <w:r>
              <w:rPr>
                <w:b w:val="off"/>
                <w:i w:val="off"/>
              </w:rPr>
              <w:t>Meridian Retail Banking / Meridian Home Finance as first loss payee</w:t>
            </w:r>
          </w:p>
        </w:tc>
      </w:tr>
      <w:tr>
        <w:tc>
          <w:p>
            <w:r>
              <w:rPr>
                <w:b w:val="off"/>
                <w:i w:val="off"/>
              </w:rPr>
              <w:t>Policy expiry</w:t>
            </w:r>
          </w:p>
        </w:tc>
        <w:tc>
          <w:p>
            <w:r>
              <w:rPr>
                <w:b w:val="off"/>
                <w:i w:val="off"/>
              </w:rPr>
              <w:t>31 March 2027</w:t>
            </w:r>
          </w:p>
        </w:tc>
      </w:tr>
    </w:tbl>
    <w:p>
      <w:pPr>
        <w:pStyle w:val="Heading2"/>
      </w:pPr>
      <w:r>
        <w:rPr>
          <w:b w:val="on"/>
          <w:i w:val="off"/>
        </w:rPr>
        <w:t xml:space="preserve">1 </w:t>
      </w:r>
      <w:r>
        <w:rPr>
          <w:b w:val="off"/>
          <w:i w:val="off"/>
        </w:rPr>
        <w:t>Bank Interest — Loss Payee / Interested Party</w:t>
      </w:r>
    </w:p>
    <w:p>
      <w:pPr>
        <w:pStyle w:val="BodyText"/>
      </w:pPr>
      <w:r>
        <w:rPr>
          <w:b w:val="off"/>
          <w:i w:val="off"/>
        </w:rPr>
        <w:t>Bank's interest: Meridian Home Finance / Meridian Retail Banking (the Lender) has a security interest in the Secured Property. The Lender must be noted on the buildings insurance policy as first loss payee and interested party for the Mortgage Reference stated in this notice.</w:t>
      </w:r>
    </w:p>
    <w:p>
      <w:pPr>
        <w:pStyle w:val="BodyText"/>
      </w:pPr>
      <w:r>
        <w:rPr>
          <w:b w:val="off"/>
          <w:i w:val="off"/>
        </w:rPr>
        <w:t>Endorsement: The Borrower shall procure that the insurer issues an endorsement (or equivalent confirmation) noting the Lender's interest, and shall deliver a copy of the endorsement and schedule to the Lender within the Response Deadline.</w:t>
      </w:r>
    </w:p>
    <w:p>
      <w:pPr>
        <w:pStyle w:val="BodyText"/>
      </w:pPr>
      <w:r>
        <w:rPr>
          <w:b w:val="off"/>
          <w:i w:val="off"/>
        </w:rPr>
        <w:t>Claims: In the event of an insured loss affecting the Secured Property, insurance proceeds shall be applied in accordance with the mortgage terms, including reinstate-or-apply provisions, and the Lender may require proceeds to be paid to the Lender as loss payee.</w:t>
      </w:r>
    </w:p>
    <w:p>
      <w:pPr>
        <w:pStyle w:val="BodyText"/>
      </w:pPr>
      <w:r>
        <w:rPr>
          <w:b w:val="off"/>
          <w:i w:val="off"/>
        </w:rPr>
        <w:t>This notice relates to security insurance for a residential mortgage and is not a general marketing communication.</w:t>
      </w:r>
    </w:p>
    <w:p>
      <w:pPr>
        <w:pStyle w:val="Heading2"/>
      </w:pPr>
      <w:r>
        <w:rPr>
          <w:b w:val="on"/>
          <w:i w:val="off"/>
        </w:rPr>
        <w:t xml:space="preserve">1 </w:t>
      </w:r>
      <w:r>
        <w:rPr>
          <w:b w:val="off"/>
          <w:i w:val="off"/>
        </w:rPr>
        <w:t>Insurance Requirements</w:t>
      </w:r>
    </w:p>
    <w:p>
      <w:pPr>
        <w:pStyle w:val="ClauseBody"/>
      </w:pPr>
      <w:r>
        <w:rPr>
          <w:b w:val="off"/>
          <w:i w:val="off"/>
        </w:rPr>
        <w:t xml:space="preserve">Please arrange endorsement noting the Lender as first loss payee and deliver evidence by </w:t>
      </w:r>
      <w:r>
        <w:rPr>
          <w:b w:val="on"/>
          <w:i w:val="off"/>
        </w:rPr>
        <w:t>2026-08-10</w:t>
      </w:r>
      <w:r>
        <w:rPr>
          <w:b w:val="off"/>
          <w:i w:val="off"/>
        </w:rPr>
        <w:t xml:space="preserve">. The Required Sum Insured is </w:t>
      </w:r>
      <w:r>
        <w:rPr>
          <w:b w:val="on"/>
          <w:i w:val="off"/>
        </w:rPr>
        <w:t>GBP</w:t>
      </w:r>
      <w:r>
        <w:rPr>
          <w:b w:val="off"/>
          <w:i w:val="off"/>
        </w:rPr>
        <w:t xml:space="preserve"> </w:t>
      </w:r>
      <w:r>
        <w:rPr>
          <w:b w:val="on"/>
          <w:i w:val="off"/>
        </w:rPr>
        <w:t>485,000.00</w:t>
      </w:r>
      <w:r>
        <w:rPr>
          <w:b w:val="off"/>
          <w:i w:val="off"/>
        </w:rPr>
        <w:t>.</w:t>
      </w:r>
    </w:p>
    <w:p>
      <w:pPr>
        <w:pStyle w:val="BodyText"/>
      </w:pPr>
      <w:r>
        <w:rPr>
          <w:b w:val="off"/>
          <w:i w:val="off"/>
        </w:rPr>
        <w:t>Minimum cover: Buildings insurance must be maintained for not less than the Required Sum Insured, on a reinstatement basis, with a reputable insurer authorised to write UK household risks, and must include cover for standard perils customary for residential mortgages.</w:t>
      </w:r>
    </w:p>
    <w:p>
      <w:pPr>
        <w:pStyle w:val="BodyText"/>
      </w:pPr>
      <w:r>
        <w:rPr>
          <w:b w:val="off"/>
          <w:i w:val="off"/>
        </w:rPr>
        <w:t>Continuity: The policy must not be cancelled, allowed to lapse, or materially reduced without prior written notice to the Lender. The Borrower shall pay premiums when due and provide evidence of renewal annually.</w:t>
      </w:r>
    </w:p>
    <w:p>
      <w:pPr>
        <w:pStyle w:val="BodyText"/>
      </w:pPr>
      <w:r>
        <w:rPr>
          <w:b w:val="off"/>
          <w:i w:val="off"/>
        </w:rPr>
        <w:t>Failure to insure: If satisfactory evidence of cover and endorsement is not provided by the Response Deadline, the Lender may (without obligation) arrange insurance and recover the cost under the mortgage terms, and/or treat the failure as a breach of the mortgage conditions.</w:t>
      </w:r>
    </w:p>
    <w:p>
      <w:pPr>
        <w:pStyle w:val="BodyText"/>
      </w:pPr>
      <w:r>
        <w:rPr>
          <w:b w:val="off"/>
          <w:i w:val="off"/>
        </w:rPr>
        <w:t>Chinese (摘要): 出借人须被批注为第一损失受偿人及利害关系人；保额不得低于要求保额；未按期提供批单的，出借人可按按揭条款安排保险并追索费用。</w:t>
      </w:r>
    </w:p>
    <w:p>
      <w:pPr>
        <w:sectPr>
          <w:type w:val="nextPage"/>
          <w:pgNumType w:start="1"/>
        </w:sectPr>
      </w:pPr>
    </w:p>
    <w:p>
      <w:pPr>
        <w:jc w:val="left"/>
      </w:pPr>
      <w:r>
        <w:rPr>
          <w:b w:val="on"/>
          <w:sz w:val="24"/>
        </w:rPr>
        <w:t>Closing Provisions</w:t>
      </w:r>
    </w:p>
    <w:p>
      <w:pPr>
        <w:pStyle w:val="Heading2"/>
      </w:pPr>
      <w:r>
        <w:rPr>
          <w:b w:val="on"/>
          <w:i w:val="off"/>
        </w:rPr>
        <w:t xml:space="preserve">1 </w:t>
      </w:r>
      <w:r>
        <w:rPr>
          <w:b w:val="off"/>
          <w:i w:val="off"/>
        </w:rPr>
        <w:t>Governing Law and Jurisdiction</w:t>
      </w:r>
    </w:p>
    <w:p>
      <w:pPr>
        <w:pStyle w:val="ClauseBody"/>
      </w:pPr>
      <w:r>
        <w:rPr>
          <w:b w:val="off"/>
          <w:i w:val="off"/>
        </w:rPr>
        <w:t xml:space="preserve">This letter and any non-contractual obligations arising out of or in connection with it are governed by </w:t>
      </w:r>
      <w:r>
        <w:rPr>
          <w:b w:val="on"/>
          <w:i w:val="off"/>
        </w:rPr>
        <w:t>English law</w:t>
      </w:r>
      <w:r>
        <w:rPr>
          <w:b w:val="off"/>
          <w:i w:val="off"/>
        </w:rPr>
        <w:t>.</w:t>
      </w:r>
    </w:p>
    <w:p>
      <w:pPr>
        <w:pStyle w:val="ClauseBody"/>
      </w:pPr>
      <w:r>
        <w:rPr>
          <w:b w:val="off"/>
          <w:i w:val="off"/>
        </w:rPr>
        <w:t xml:space="preserve">The courts of </w:t>
      </w:r>
      <w:r>
        <w:rPr>
          <w:b w:val="off"/>
          <w:i w:val="off"/>
          <w:u w:val="single"/>
        </w:rPr>
        <w:t>England and Wales</w:t>
      </w:r>
      <w:r>
        <w:rPr>
          <w:b w:val="off"/>
          <w:i w:val="off"/>
        </w:rPr>
        <w:t xml:space="preserve"> have exclusive jurisdiction to settle any dispute arising out of or in connection with this letter. Nothing in this clause limits the right of the Bank to take proceedings in any other court of competent jurisdiction.</w:t>
      </w:r>
    </w:p>
    <w:p>
      <w:pPr>
        <w:pStyle w:val="Heading2"/>
      </w:pPr>
      <w:r>
        <w:rPr>
          <w:b w:val="on"/>
          <w:i w:val="off"/>
        </w:rPr>
        <w:t xml:space="preserve">1 </w:t>
      </w:r>
      <w:r>
        <w:rPr>
          <w:b w:val="off"/>
          <w:i w:val="off"/>
        </w:rPr>
        <w:t>Authorised Signatory</w:t>
      </w:r>
    </w:p>
    <w:p>
      <w:pPr>
        <w:pStyle w:val="ClauseBody"/>
      </w:pPr>
      <w:r>
        <w:rPr>
          <w:b w:val="off"/>
          <w:i w:val="off"/>
        </w:rPr>
        <w:t>Please acknowledge receipt of this letter by countersigning and returning an executed copy within ten Business Days of the date of this letter.</w:t>
      </w:r>
    </w:p>
    <w:p>
      <w:pPr>
        <w:pStyle w:val="SignatureBlock"/>
      </w:pPr>
      <w:r>
        <w:rPr>
          <w:b w:val="off"/>
          <w:i w:val="off"/>
        </w:rPr>
        <w:t>Yours faithfully,</w:t>
      </w:r>
    </w:p>
    <w:p>
      <w:pPr>
        <w:pStyle w:val="SignatureBlock"/>
      </w:pPr>
      <w:r>
        <w:rPr>
          <w:b w:val="off"/>
          <w:i w:val="off"/>
        </w:rPr>
        <w:t xml:space="preserve">For and on behalf of </w:t>
      </w:r>
      <w:r>
        <w:rPr>
          <w:b w:val="on"/>
          <w:i w:val="off"/>
        </w:rPr>
        <w:t>Meridian Retail Banking</w:t>
      </w:r>
    </w:p>
    <w:p>
      <w:pPr>
        <w:pStyle w:val="SignatureBlock"/>
      </w:pPr>
      <w:r>
        <w:rPr>
          <w:b w:val="off"/>
          <w:i w:val="off"/>
        </w:rPr>
        <w:t>_____________________________</w:t>
      </w:r>
    </w:p>
    <w:p>
      <w:pPr>
        <w:pStyle w:val="SignatureBlock"/>
      </w:pPr>
      <w:r>
        <w:rPr>
          <w:b w:val="on"/>
          <w:i w:val="off"/>
        </w:rPr>
        <w:t>Sophie Langford</w:t>
      </w:r>
    </w:p>
    <w:p>
      <w:pPr>
        <w:pStyle w:val="SignatureBlock"/>
      </w:pPr>
      <w:r>
        <w:rPr>
          <w:b w:val="off"/>
          <w:i w:val="off"/>
        </w:rPr>
        <w:t>Team Lead, Security &amp; Insurance Servicing — Meridian Home Finance</w:t>
      </w:r>
    </w:p>
    <w:p>
      <w:pPr>
        <w:pStyle w:val="SignatureBlock"/>
      </w:pPr>
      <w:r>
        <w:rPr>
          <w:b w:val="off"/>
          <w:i w:val="off"/>
        </w:rPr>
        <w:t>1 Churchill Place, London E14 5HP, United Kingdom</w:t>
      </w:r>
    </w:p>
    <w:sectPr>
      <main:headerReference xmlns:main="http://schemas.openxmlformats.org/wordprocessingml/2006/main" xmlns:rel="http://schemas.openxmlformats.org/officeDocument/2006/relationships" main:type="default" rel:id="rId3"/>
      <main:footerReference xmlns:main="http://schemas.openxmlformats.org/wordprocessingml/2006/main" xmlns:rel="http://schemas.openxmlformats.org/officeDocument/2006/relationships" main:type="default" rel:id="rId4"/>
      <main:pgSz xmlns:main="http://schemas.openxmlformats.org/wordprocessingml/2006/main" main:w="11906" main:h="16838"/>
      <main:pgMar xmlns:main="http://schemas.openxmlformats.org/wordprocessingml/2006/main" main:top="1440" main:bottom="1440" main:left="1440" main:right="1440" main:header="708" main:footer="708" main:gutter="0"/>
    </w:sectPr>
  </w:body>
</w:document>
</file>

<file path=word/footer1.xml><?xml version="1.0" encoding="utf-8"?>
<w:ftr xmlns:w="http://schemas.openxmlformats.org/wordprocessingml/2006/main">
  <w:p>
    <w:pPr>
      <w:jc w:val="left"/>
    </w:pPr>
    <w:r>
      <w:rPr>
        <w:sz w:val="14"/>
        <w:color w:val="666666"/>
      </w:rPr>
      <w:t>1 Churchill Place, London E14 5HP  |  Meridian Retail Banking / Meridian Home Finance</w:t>
    </w:r>
  </w:p>
  <w:p>
    <w:pPr>
      <w:jc w:val="center"/>
    </w:pPr>
    <w:r>
      <w:rPr>
        <w:sz w:val="16"/>
        <w:rFonts w:ascii="Calibri" w:hAnsi="Calibri" w:cs="Calibri" w:eastAsia="Calibri"/>
      </w:rPr>
      <w:t xml:space="preserve">Section Page </w:t>
    </w:r>
    <w:r>
      <w:fldChar w:fldCharType="begin"/>
    </w:r>
    <w:r>
      <w:instrText> PAGE \* MERGEFORMAT </w:instrText>
    </w:r>
    <w:r>
      <w:fldChar w:fldCharType="separate"/>
    </w:r>
    <w:r>
      <w:t>1</w:t>
    </w:r>
    <w:r>
      <w:fldChar w:fldCharType="end"/>
    </w:r>
    <w:r>
      <w:rPr>
        <w:sz w:val="16"/>
        <w:rFonts w:ascii="Calibri" w:hAnsi="Calibri" w:cs="Calibri" w:eastAsia="Calibri"/>
      </w:rPr>
      <w:t xml:space="preserve"> of </w:t>
    </w:r>
    <w:r>
      <w:fldChar w:fldCharType="begin"/>
    </w:r>
    <w:r>
      <w:instrText> SECTIONPAGES \* MERGEFORMAT </w:instrText>
    </w:r>
    <w:r>
      <w:fldChar w:fldCharType="separate"/>
    </w:r>
    <w:r>
      <w:t>1</w:t>
    </w:r>
    <w:r>
      <w:fldChar w:fldCharType="end"/>
    </w:r>
    <w:r>
      <w:rPr>
        <w:sz w:val="16"/>
        <w:rFonts w:ascii="Calibri" w:hAnsi="Calibri" w:cs="Calibri" w:eastAsia="Calibri"/>
      </w:rPr>
      <w:t xml:space="preserve">  |  Document Page </w:t>
    </w:r>
    <w:r>
      <w:fldChar w:fldCharType="begin"/>
    </w:r>
    <w:r>
      <w:instrText> PAGE \* MERGEFORMAT </w:instrText>
    </w:r>
    <w:r>
      <w:fldChar w:fldCharType="separate"/>
    </w:r>
    <w:r>
      <w:t>1</w:t>
    </w:r>
    <w:r>
      <w:fldChar w:fldCharType="end"/>
    </w:r>
    <w:r>
      <w:rPr>
        <w:sz w:val="16"/>
        <w:rFonts w:ascii="Calibri" w:hAnsi="Calibri" w:cs="Calibri" w:eastAsia="Calibri"/>
      </w:rPr>
      <w:t xml:space="preserve"> of </w:t>
    </w:r>
    <w:r>
      <w:fldChar w:fldCharType="begin"/>
    </w:r>
    <w:r>
      <w:instrText> NUMPAGES \* MERGEFORMAT </w:instrText>
    </w:r>
    <w:r>
      <w:fldChar w:fldCharType="separate"/>
    </w:r>
    <w:r>
      <w:t>1</w:t>
    </w:r>
    <w:r>
      <w:fldChar w:fldCharType="end"/>
    </w:r>
  </w:p>
</w:ftr>
</file>

<file path=word/header1.xml><?xml version="1.0" encoding="utf-8"?>
<w:hdr xmlns:w="http://schemas.openxmlformats.org/wordprocessingml/2006/main">
  <w:p>
    <w:pPr>
      <w:jc w:val="left"/>
    </w:pPr>
    <w:r>
      <w:rPr>
        <w:b w:val="on"/>
        <w:sz w:val="18"/>
        <w:color w:val="003366"/>
      </w:rPr>
      <w:t>Meridian Home Finance — Security &amp; Insurance Servicing</w:t>
    </w:r>
  </w:p>
  <w:p>
    <w:pPr>
      <w:jc w:val="right"/>
    </w:pPr>
    <w:r>
      <w:rPr>
        <w:b w:val="on"/>
        <w:sz w:val="14"/>
        <w:color w:val="990000"/>
      </w:rPr>
      <w:t>STRICTLY PRIVATE AND CONFIDENTIAL</w:t>
    </w:r>
  </w:p>
</w:hdr>
</file>

<file path=word/settings.xml><?xml version="1.0" encoding="utf-8"?>
<w:settings xmlns:w="http://schemas.openxmlformats.org/wordprocessingml/2006/main">
  <w:zoom w:percent="100"/>
</w:settings>
</file>

<file path=word/styles.xml><?xml version="1.0" encoding="utf-8"?>
<w:styles xmlns:w="http://schemas.openxmlformats.org/wordprocessingml/2006/main">
  <w:docDefaults>
    <w:rPrDefault>
      <w:rPr>
        <w:rFonts w:ascii="Calibri" w:hAnsi="Calibri" w:cs="Calibri" w:eastAsia="Calibri"/>
        <w:sz w:val="20"/>
        <w:szCs w:val="20"/>
        <w:color w:val="000000"/>
        <w:lang w:val="en-US" w:bidi="en-US"/>
      </w:rPr>
    </w:rPrDefault>
    <w:pPrDefault>
      <w:pPr/>
    </w:pPrDefault>
  </w:docDefaults>
  <w:style w:type="paragraph" w:styleId="Normal" w:default="true">
    <w:name w:val="Normal"/>
    <w:qFormat/>
    <w:rPr>
      <w:rFonts w:ascii="Calibri" w:hAnsi="Calibri" w:cs="Calibri" w:eastAsia="Calibri"/>
      <w:sz w:val="20"/>
      <w:szCs w:val="20"/>
      <w:color w:val="000000"/>
      <w:lang w:val="en-US"/>
    </w:rPr>
  </w:style>
  <w:style w:type="paragraph" w:styleId="Heading1">
    <w:name w:val="Heading1"/>
    <w:qFormat/>
    <w:rPr>
      <w:sz w:val="32"/>
      <w:rFonts w:ascii="Cambria" w:hAnsi="Cambria" w:cs="Cambria" w:eastAsia="Cambria"/>
      <w:b/>
    </w:rPr>
  </w:style>
  <w:style w:type="paragraph" w:styleId="Heading2">
    <w:name w:val="Heading2"/>
    <w:qFormat/>
    <w:rPr>
      <w:sz w:val="28"/>
      <w:rFonts w:ascii="Cambria" w:hAnsi="Cambria" w:cs="Cambria" w:eastAsia="Cambria"/>
      <w:b/>
    </w:rPr>
  </w:style>
  <w:style w:type="paragraph" w:styleId="Heading3">
    <w:name w:val="Heading3"/>
    <w:qFormat/>
    <w:rPr>
      <w:sz w:val="24"/>
      <w:rFonts w:ascii="Cambria" w:hAnsi="Cambria" w:cs="Cambria" w:eastAsia="Cambria"/>
      <w:b/>
    </w:rPr>
  </w:style>
  <w:style w:type="paragraph" w:styleId="ClauseBody">
    <w:name w:val="ClauseBody"/>
    <w:qFormat/>
    <w:rPr>
      <w:sz w:val="20"/>
      <w:rFonts w:ascii="Calibri" w:hAnsi="Calibri" w:cs="Calibri" w:eastAsia="Calibri"/>
    </w:rPr>
  </w:style>
  <w:style w:type="paragraph" w:styleId="DefinedTerm">
    <w:name w:val="DefinedTerm"/>
    <w:qFormat/>
    <w:rPr>
      <w:sz w:val="20"/>
      <w:rFonts w:ascii="Calibri" w:hAnsi="Calibri" w:cs="Calibri" w:eastAsia="Calibri"/>
      <w:b/>
    </w:rPr>
  </w:style>
  <w:style w:type="paragraph" w:styleId="TableHeader">
    <w:name w:val="TableHeader"/>
    <w:qFormat/>
    <w:rPr>
      <w:sz w:val="20"/>
      <w:rFonts w:ascii="Calibri" w:hAnsi="Calibri" w:cs="Calibri" w:eastAsia="Calibri"/>
      <w:b/>
    </w:rPr>
  </w:style>
  <w:style w:type="paragraph" w:styleId="ScheduleTitle">
    <w:name w:val="ScheduleTitle"/>
    <w:qFormat/>
    <w:rPr>
      <w:sz w:val="26"/>
      <w:rFonts w:ascii="Cambria" w:hAnsi="Cambria" w:cs="Cambria" w:eastAsia="Cambria"/>
      <w:b/>
    </w:rPr>
  </w:style>
  <w:style w:type="paragraph" w:styleId="SignatureBlock">
    <w:name w:val="SignatureBlock"/>
    <w:qFormat/>
    <w:rPr>
      <w:sz w:val="20"/>
      <w:rFonts w:ascii="Calibri" w:hAnsi="Calibri" w:cs="Calibri" w:eastAsia="Calibri"/>
    </w:rPr>
  </w:style>
</w:styles>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styles.xml" Type="http://schemas.openxmlformats.org/officeDocument/2006/relationships/styles"/><Relationship Id="rId3" Target="header1.xml" Type="http://schemas.openxmlformats.org/officeDocument/2006/relationships/header"/><Relationship Id="rId4" Target="footer1.xml" Type="http://schemas.openxmlformats.org/officeDocument/2006/relationships/footer"/></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2026-07-20T11:01:06Z</dcterms:created>
  <dc:creator>Apache POI</dc:creator>
</cp:coreProperties>
</file>