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color w:val="006633"/>
        </w:rPr>
        <w:t>Account Opening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MRB-RAO-2026-003847</w:t>
      </w:r>
    </w:p>
    <w:p>
      <w:pPr>
        <w:pStyle w:val="ClauseBody"/>
      </w:pPr>
      <w:r>
        <w:rPr>
          <w:b w:val="off"/>
          <w:i w:val="off"/>
        </w:rPr>
        <w:t xml:space="preserve">To: </w:t>
      </w:r>
      <w:r>
        <w:rPr>
          <w:b w:val="on"/>
          <w:i w:val="off"/>
        </w:rPr>
        <w:t>Ms Eleanor Whitfield</w:t>
      </w:r>
    </w:p>
    <w:p>
      <w:pPr>
        <w:pStyle w:val="ClauseBody"/>
      </w:pPr>
      <w:r>
        <w:rPr>
          <w:b w:val="off"/>
          <w:i w:val="off"/>
        </w:rPr>
        <w:t>Flat 12, 8 Whitworth Street West, Manchester M1 5WW</w:t>
      </w:r>
    </w:p>
    <w:p>
      <w:pPr>
        <w:pStyle w:val="ClauseBody"/>
      </w:pPr>
      <w:r>
        <w:rPr>
          <w:b w:val="off"/>
          <w:i w:val="off"/>
        </w:rPr>
        <w:t>Dear Customer,</w:t>
      </w:r>
    </w:p>
    <w:p>
      <w:pPr>
        <w:pStyle w:val="ClauseBody"/>
      </w:pPr>
      <w:r>
        <w:rPr>
          <w:b w:val="off"/>
          <w:i w:val="off"/>
        </w:rPr>
        <w:t xml:space="preserve">Re: Account Opening Confirmation — </w:t>
      </w:r>
      <w:r>
        <w:rPr>
          <w:b w:val="off"/>
          <w:i w:val="off"/>
          <w:u w:val="single"/>
        </w:rPr>
        <w:t>GB29 MERI 6016 1331 9268 19</w:t>
      </w:r>
    </w:p>
    <w:p>
      <w:pPr>
        <w:pStyle w:val="ClauseBody"/>
      </w:pPr>
      <w:r>
        <w:rPr>
          <w:b w:val="off"/>
          <w:i w:val="off"/>
        </w:rPr>
        <w:t xml:space="preserve">Branch: </w:t>
      </w:r>
      <w:r>
        <w:rPr>
          <w:b w:val="off"/>
          <w:i w:val="off"/>
        </w:rPr>
        <w:t>Manchester Deansgate</w:t>
      </w:r>
      <w:r>
        <w:rPr>
          <w:b w:val="off"/>
          <w:i w:val="off"/>
        </w:rPr>
        <w:t xml:space="preserve">, </w:t>
      </w:r>
      <w:r>
        <w:rPr>
          <w:b w:val="off"/>
          <w:i w:val="off"/>
        </w:rPr>
        <w:t>Unit 4, Deansgate, Manchester M3 2BW</w:t>
      </w:r>
      <w:r>
        <w:rPr>
          <w:b w:val="off"/>
          <w:i w:val="off"/>
        </w:rPr>
        <w:t xml:space="preserve"> (tel: </w:t>
      </w:r>
      <w:r>
        <w:rPr>
          <w:b w:val="off"/>
          <w:i w:val="off"/>
        </w:rPr>
        <w:t>0161 496 3200</w:t>
      </w:r>
      <w:r>
        <w:rPr>
          <w:b w:val="off"/>
          <w:i w:val="off"/>
        </w:rPr>
        <w:t>)</w:t>
      </w:r>
    </w:p>
    <w:p>
      <w:pPr>
        <w:pStyle w:val="ClauseBody"/>
      </w:pPr>
      <w:r>
        <w:rPr>
          <w:b w:val="off"/>
          <w:i w:val="off"/>
        </w:rPr>
        <w:t xml:space="preserve">We, </w:t>
      </w:r>
      <w:r>
        <w:rPr>
          <w:b w:val="on"/>
          <w:i w:val="off"/>
        </w:rPr>
        <w:t>Meridian Retail Banking</w:t>
      </w:r>
      <w:r>
        <w:rPr>
          <w:b w:val="off"/>
          <w:i w:val="off"/>
        </w:rPr>
        <w:t xml:space="preserve"> of </w:t>
      </w:r>
      <w:r>
        <w:rPr>
          <w:b w:val="off"/>
          <w:i w:val="off"/>
        </w:rPr>
        <w:t>42 High Street, Manchester M1 1AA, United Kingdom</w:t>
      </w:r>
      <w:r>
        <w:rPr>
          <w:b w:val="off"/>
          <w:i w:val="off"/>
        </w:rPr>
        <w:t xml:space="preserve"> (FCA </w:t>
      </w:r>
      <w:r>
        <w:rPr>
          <w:b w:val="off"/>
          <w:i w:val="off"/>
        </w:rPr>
        <w:t>123456</w:t>
      </w:r>
      <w:r>
        <w:rPr>
          <w:b w:val="off"/>
          <w:i w:val="off"/>
        </w:rPr>
        <w:t>), are pleased to confirm the opening of your retail account.</w:t>
      </w:r>
    </w:p>
    <w:p>
      <w:pPr>
        <w:sectPr>
          <w:type w:val="nextPage"/>
        </w:sectPr>
      </w:pPr>
    </w:p>
    <w:p>
      <w:pPr>
        <w:jc w:val="left"/>
      </w:pPr>
      <w:r>
        <w:rPr>
          <w:b w:val="on"/>
          <w:sz w:val="24"/>
        </w:rPr>
        <w:t>Account Opening Confirmation</w:t>
      </w:r>
    </w:p>
    <w:p>
      <w:pPr>
        <w:pStyle w:val="Heading2"/>
      </w:pPr>
      <w:r>
        <w:rPr>
          <w:b w:val="on"/>
          <w:i w:val="off"/>
        </w:rPr>
        <w:t xml:space="preserve">1 </w:t>
      </w:r>
      <w:r>
        <w:rPr>
          <w:b w:val="off"/>
          <w:i w:val="off"/>
        </w:rPr>
        <w:t>Account Opening Confirmation</w:t>
      </w:r>
    </w:p>
    <w:p>
      <w:pPr>
        <w:pStyle w:val="ClauseBody"/>
      </w:pPr>
      <w:r>
        <w:rPr>
          <w:b w:val="off"/>
          <w:i w:val="off"/>
        </w:rPr>
        <w:t xml:space="preserve">We are pleased to confirm that your </w:t>
      </w:r>
      <w:r>
        <w:rPr>
          <w:b w:val="off"/>
          <w:i w:val="off"/>
        </w:rPr>
        <w:t>Meridian Everyday Current Account</w:t>
      </w:r>
      <w:r>
        <w:rPr>
          <w:b w:val="off"/>
          <w:i w:val="off"/>
        </w:rPr>
        <w:t xml:space="preserve"> (the "Account") with account number </w:t>
      </w:r>
      <w:r>
        <w:rPr>
          <w:b w:val="on"/>
          <w:i w:val="off"/>
        </w:rPr>
        <w:t>GB29 MERI 6016 1331 9268 19</w:t>
      </w:r>
      <w:r>
        <w:rPr>
          <w:b w:val="off"/>
          <w:i w:val="off"/>
        </w:rPr>
        <w:t xml:space="preserve"> and sort code </w:t>
      </w:r>
      <w:r>
        <w:rPr>
          <w:b w:val="off"/>
          <w:i w:val="off"/>
          <w:u w:val="single"/>
        </w:rPr>
        <w:t>60-16-13</w:t>
      </w:r>
      <w:r>
        <w:rPr>
          <w:b w:val="off"/>
          <w:i w:val="off"/>
        </w:rPr>
        <w:t xml:space="preserve"> was opened at our </w:t>
      </w:r>
      <w:r>
        <w:rPr>
          <w:b w:val="off"/>
          <w:i w:val="off"/>
        </w:rPr>
        <w:t>Manchester Deansgate</w:t>
      </w:r>
      <w:r>
        <w:rPr>
          <w:b w:val="off"/>
          <w:i w:val="off"/>
        </w:rPr>
        <w:t xml:space="preserve"> branch with effect from </w:t>
      </w:r>
      <w:r>
        <w:rPr>
          <w:b w:val="on"/>
          <w:i w:val="off"/>
        </w:rPr>
        <w:t>2026-06-15</w:t>
      </w:r>
      <w:r>
        <w:rPr>
          <w:b w:val="off"/>
          <w:i w:val="off"/>
        </w:rPr>
        <w:t>.</w:t>
      </w:r>
    </w:p>
    <w:p/>
    <w:p>
      <w:pPr>
        <w:pStyle w:val="ClauseBody"/>
      </w:pPr>
      <w:r>
        <w:rPr>
          <w:b w:val="off"/>
          <w:i w:val="off"/>
        </w:rPr>
        <w:t xml:space="preserve">An arranged overdraft facility of up to </w:t>
      </w:r>
      <w:r>
        <w:rPr>
          <w:b w:val="on"/>
          <w:i w:val="off"/>
        </w:rPr>
        <w:t>GBP</w:t>
      </w:r>
      <w:r>
        <w:rPr>
          <w:b w:val="on"/>
          <w:i w:val="off"/>
        </w:rPr>
        <w:t xml:space="preserve"> </w:t>
      </w:r>
      <w:r>
        <w:rPr>
          <w:b w:val="on"/>
          <w:i w:val="off"/>
        </w:rPr>
        <w:t>1,500.00</w:t>
      </w:r>
      <w:r>
        <w:rPr>
          <w:b w:val="off"/>
          <w:i w:val="off"/>
        </w:rPr>
        <w:t xml:space="preserve"> has been made available on the Account, subject to the terms set out in this letter and the Account terms and conditions.</w:t>
      </w:r>
    </w:p>
    <w:p>
      <w:pPr>
        <w:pStyle w:val="ClauseBody"/>
      </w:pPr>
      <w:r>
        <w:rPr>
          <w:b w:val="off"/>
          <w:i w:val="off"/>
        </w:rPr>
        <w:t xml:space="preserve">Your </w:t>
      </w:r>
      <w:r>
        <w:rPr>
          <w:b w:val="off"/>
          <w:i w:val="off"/>
        </w:rPr>
        <w:t>Contactless Visa Debit</w:t>
      </w:r>
      <w:r>
        <w:rPr>
          <w:b w:val="off"/>
          <w:i w:val="off"/>
        </w:rPr>
        <w:t xml:space="preserve"> debit card will be dispatched to your registered address within five working days of the account opening date.</w:t>
      </w:r>
    </w:p>
    <w:p>
      <w:pPr>
        <w:sectPr>
          <w:type w:val="nextPage"/>
        </w:sectPr>
      </w:pPr>
    </w:p>
    <w:p>
      <w:pPr>
        <w:jc w:val="left"/>
      </w:pPr>
      <w:r>
        <w:rPr>
          <w:b w:val="on"/>
          <w:sz w:val="24"/>
        </w:rPr>
        <w:t>Product Terms and Conditions</w:t>
      </w:r>
    </w:p>
    <w:p>
      <w:pPr>
        <w:pStyle w:val="Heading2"/>
      </w:pPr>
      <w:r>
        <w:rPr>
          <w:b w:val="on"/>
          <w:i w:val="off"/>
        </w:rPr>
        <w:t xml:space="preserve">1 </w:t>
      </w:r>
      <w:r>
        <w:rPr>
          <w:b w:val="off"/>
          <w:i w:val="off"/>
        </w:rPr>
        <w:t>Product Terms and Conditions</w:t>
      </w:r>
    </w:p>
    <w:p>
      <w:pPr>
        <w:pStyle w:val="BodyText"/>
      </w:pPr>
      <w:r>
        <w:rPr>
          <w:b w:val="off"/>
          <w:i w:val="off"/>
        </w:rPr>
        <w:t>Your Account is governed by the Account terms and conditions enclosed with this letter, the Personal Banking tariff and the General Terms for Personal Customers, each as amended from time to time. By using the Account, you agree to be bound by these terms.</w:t>
      </w:r>
    </w:p>
    <w:p>
      <w:pPr>
        <w:pStyle w:val="BodyText"/>
      </w:pPr>
      <w:r>
        <w:rPr>
          <w:b w:val="off"/>
          <w:i w:val="off"/>
        </w:rPr>
        <w:t>You must keep your Account in credit or within any agreed overdraft limit. We may charge interest and fees if your Account becomes overdrawn without an arranged overdraft facility, or if you exceed your arranged overdraft limit.</w:t>
      </w:r>
    </w:p>
    <w:p>
      <w:pPr>
        <w:pStyle w:val="BodyText"/>
      </w:pPr>
      <w:r>
        <w:rPr>
          <w:b w:val="off"/>
          <w:i w:val="off"/>
        </w:rPr>
        <w:t>We may close your Account if you do not use it for a continuous period of twelve months, if you breach the Account terms and conditions, or if we are required to do so by law or regulation. We will give you at least 60 days' notice before closing an Account for inactivity, unless we are prohibited from doing so.</w:t>
      </w:r>
    </w:p>
    <w:p>
      <w:pPr>
        <w:pStyle w:val="BodyText"/>
      </w:pPr>
      <w:r>
        <w:rPr>
          <w:b w:val="off"/>
          <w:i w:val="off"/>
        </w:rPr>
        <w:t>You may close your Account at any time by giving us written notice. Any balance remaining on the Account will be paid to you by cheque or transfer to a nominated account, less any amounts owing to us.</w:t>
      </w:r>
    </w:p>
    <w:p>
      <w:pPr>
        <w:pStyle w:val="BodyText"/>
      </w:pPr>
      <w:r>
        <w:rPr>
          <w:b w:val="off"/>
          <w:i w:val="off"/>
        </w:rPr>
        <w:t>We are committed to treating customers fairly and to providing accessible banking services. If you have a complaint, please contact our Customer Relations team. If we cannot resolve your complaint, you may refer it to the Financial Ombudsman Service.</w:t>
      </w:r>
    </w:p>
    <w:p>
      <w:pPr>
        <w:pStyle w:val="BodyText"/>
      </w:pPr>
      <w:r>
        <w:rPr>
          <w:b w:val="off"/>
          <w:i w:val="off"/>
        </w:rPr>
        <w:t>Governing law: The Account terms and this letter are governed by the laws of England and Wales. The courts of England and Wales have non-exclusive jurisdiction.</w:t>
      </w:r>
    </w:p>
    <w:p>
      <w:pPr>
        <w:pStyle w:val="BodyText"/>
      </w:pPr>
      <w:r>
        <w:rPr>
          <w:b w:val="off"/>
          <w:i w:val="off"/>
        </w:rPr>
        <w:t>Data protection: We process your personal data in accordance with UK GDPR and our Personal Banking Privacy Notice. You may request a copy of the data we hold about you by contacting our Data Protection Officer.</w:t>
      </w:r>
    </w:p>
    <w:p>
      <w:pPr>
        <w:pStyle w:val="BodyText"/>
      </w:pPr>
      <w:r>
        <w:rPr>
          <w:b w:val="off"/>
          <w:i w:val="off"/>
        </w:rPr>
        <w:t>Signature: Please retain this letter for your records. An authorised signatory of Meridian Retail Banking confirms the Account opening on the terms stated above.</w:t>
      </w:r>
    </w:p>
    <w:p>
      <w:pPr>
        <w:sectPr>
          <w:type w:val="nextPage"/>
        </w:sectPr>
      </w:pPr>
    </w:p>
    <w:p>
      <w:pPr>
        <w:jc w:val="left"/>
      </w:pPr>
      <w:r>
        <w:rPr>
          <w:b w:val="on"/>
          <w:sz w:val="24"/>
        </w:rPr>
        <w:t>Fee Schedule</w:t>
      </w:r>
    </w:p>
    <w:p>
      <w:pPr>
        <w:pStyle w:val="Heading2"/>
      </w:pPr>
      <w:r>
        <w:rPr>
          <w:b w:val="on"/>
          <w:i w:val="off"/>
        </w:rPr>
        <w:t xml:space="preserve">1 </w:t>
      </w:r>
      <w:r>
        <w:rPr>
          <w:b w:val="off"/>
          <w:i w:val="off"/>
        </w:rPr>
        <w:t>Fee Schedule</w:t>
      </w:r>
    </w:p>
    <w:p>
      <w:pPr>
        <w:pStyle w:val="ScheduleTitle"/>
      </w:pPr>
      <w:r>
        <w:rPr>
          <w:b w:val="off"/>
          <w:i w:val="off"/>
        </w:rPr>
        <w:t>Schedule 1 — Account Fees and Charges (effective from account opening date)</w:t>
      </w:r>
    </w:p>
    <w:p/>
    <w:p>
      <w:pPr>
        <w:pStyle w:val="ClauseBody"/>
      </w:pPr>
      <w:r>
        <w:rPr>
          <w:b w:val="off"/>
          <w:i w:val="off"/>
        </w:rPr>
        <w:t>Fees are subject to change. We will give you at least 60 days' notice before increasing any fee that is not linked to a change in the Bank of England base rate. A full schedule of fees is available on request or at meridianretail.co.uk/fees.</w:t>
      </w:r>
    </w:p>
    <w:tbl>
      <w:tblPr>
        <w:tblW w:w="0" w:type="auto"/>
        <w:tblBorders>
          <w:top w:val="single"/>
          <w:left w:val="single"/>
          <w:bottom w:val="single"/>
          <w:right w:val="single"/>
          <w:insideH w:val="single"/>
          <w:insideV w:val="single"/>
        </w:tblBorders>
      </w:tblPr>
      <w:tr>
        <w:tc>
          <w:p>
            <w:pPr>
              <w:pStyle w:val="TableHeader"/>
            </w:pPr>
            <w:r>
              <w:rPr>
                <w:b w:val="on"/>
                <w:i w:val="off"/>
              </w:rPr>
              <w:t>Fee Type</w:t>
            </w:r>
          </w:p>
        </w:tc>
        <w:tc>
          <w:p>
            <w:pPr>
              <w:pStyle w:val="TableHeader"/>
            </w:pPr>
            <w:r>
              <w:rPr>
                <w:b w:val="on"/>
                <w:i w:val="off"/>
              </w:rPr>
              <w:t>Amount</w:t>
            </w:r>
          </w:p>
        </w:tc>
        <w:tc>
          <w:p>
            <w:pPr>
              <w:pStyle w:val="TableHeader"/>
            </w:pPr>
            <w:r>
              <w:rPr>
                <w:b w:val="on"/>
                <w:i w:val="off"/>
              </w:rPr>
              <w:t>Frequency</w:t>
            </w:r>
          </w:p>
        </w:tc>
        <w:tc>
          <w:p>
            <w:pPr>
              <w:pStyle w:val="TableHeader"/>
            </w:pPr>
            <w:r>
              <w:rPr>
                <w:b w:val="on"/>
                <w:i w:val="off"/>
              </w:rPr>
              <w:t>Notes</w:t>
            </w:r>
          </w:p>
        </w:tc>
      </w:tr>
      <w:tr>
        <w:tc>
          <w:p>
            <w:r>
              <w:rPr>
                <w:b w:val="off"/>
                <w:i w:val="off"/>
              </w:rPr>
              <w:t>Monthly account fee</w:t>
            </w:r>
          </w:p>
        </w:tc>
        <w:tc>
          <w:p>
            <w:r>
              <w:rPr>
                <w:b w:val="off"/>
                <w:i w:val="off"/>
              </w:rPr>
              <w:t>£0.00</w:t>
            </w:r>
          </w:p>
        </w:tc>
        <w:tc>
          <w:p>
            <w:r>
              <w:rPr>
                <w:b w:val="off"/>
                <w:i w:val="off"/>
              </w:rPr>
              <w:t>Monthly</w:t>
            </w:r>
          </w:p>
        </w:tc>
        <w:tc>
          <w:p>
            <w:r>
              <w:rPr>
                <w:b w:val="off"/>
                <w:i w:val="off"/>
              </w:rPr>
              <w:t>No monthly fee for Everyday Current Account</w:t>
            </w:r>
          </w:p>
        </w:tc>
      </w:tr>
      <w:tr>
        <w:tc>
          <w:p>
            <w:r>
              <w:rPr>
                <w:b w:val="off"/>
                <w:i w:val="off"/>
              </w:rPr>
              <w:t>Arranged overdraft usage</w:t>
            </w:r>
          </w:p>
        </w:tc>
        <w:tc>
          <w:p>
            <w:r>
              <w:rPr>
                <w:b w:val="off"/>
                <w:i w:val="off"/>
              </w:rPr>
              <w:t>39.9% EAR</w:t>
            </w:r>
          </w:p>
        </w:tc>
        <w:tc>
          <w:p>
            <w:r>
              <w:rPr>
                <w:b w:val="off"/>
                <w:i w:val="off"/>
              </w:rPr>
              <w:t>Daily</w:t>
            </w:r>
          </w:p>
        </w:tc>
        <w:tc>
          <w:p>
            <w:r>
              <w:rPr>
                <w:b w:val="off"/>
                <w:i w:val="off"/>
              </w:rPr>
              <w:t>Variable rate; charged on amount overdrawn</w:t>
            </w:r>
          </w:p>
        </w:tc>
      </w:tr>
      <w:tr>
        <w:tc>
          <w:p>
            <w:r>
              <w:rPr>
                <w:b w:val="off"/>
                <w:i w:val="off"/>
              </w:rPr>
              <w:t>Unarranged overdraft fee</w:t>
            </w:r>
          </w:p>
        </w:tc>
        <w:tc>
          <w:p>
            <w:r>
              <w:rPr>
                <w:b w:val="off"/>
                <w:i w:val="off"/>
              </w:rPr>
              <w:t>£5.00</w:t>
            </w:r>
          </w:p>
        </w:tc>
        <w:tc>
          <w:p>
            <w:r>
              <w:rPr>
                <w:b w:val="off"/>
                <w:i w:val="off"/>
              </w:rPr>
              <w:t>Per day</w:t>
            </w:r>
          </w:p>
        </w:tc>
        <w:tc>
          <w:p>
            <w:r>
              <w:rPr>
                <w:b w:val="off"/>
                <w:i w:val="off"/>
              </w:rPr>
              <w:t>Max one fee per day</w:t>
            </w:r>
          </w:p>
        </w:tc>
      </w:tr>
      <w:tr>
        <w:tc>
          <w:p>
            <w:r>
              <w:rPr>
                <w:b w:val="off"/>
                <w:i w:val="off"/>
              </w:rPr>
              <w:t>International debit card purchase</w:t>
            </w:r>
          </w:p>
        </w:tc>
        <w:tc>
          <w:p>
            <w:r>
              <w:rPr>
                <w:b w:val="off"/>
                <w:i w:val="off"/>
              </w:rPr>
              <w:t>2.75%</w:t>
            </w:r>
          </w:p>
        </w:tc>
        <w:tc>
          <w:p>
            <w:r>
              <w:rPr>
                <w:b w:val="off"/>
                <w:i w:val="off"/>
              </w:rPr>
              <w:t>Per transaction</w:t>
            </w:r>
          </w:p>
        </w:tc>
        <w:tc>
          <w:p>
            <w:r>
              <w:rPr>
                <w:b w:val="off"/>
                <w:i w:val="off"/>
              </w:rPr>
              <w:t>Non-sterling transactions</w:t>
            </w:r>
          </w:p>
        </w:tc>
      </w:tr>
      <w:tr>
        <w:tc>
          <w:p>
            <w:r>
              <w:rPr>
                <w:b w:val="off"/>
                <w:i w:val="off"/>
              </w:rPr>
              <w:t>CHAPS payment (outgoing)</w:t>
            </w:r>
          </w:p>
        </w:tc>
        <w:tc>
          <w:p>
            <w:r>
              <w:rPr>
                <w:b w:val="off"/>
                <w:i w:val="off"/>
              </w:rPr>
              <w:t>£25.00</w:t>
            </w:r>
          </w:p>
        </w:tc>
        <w:tc>
          <w:p>
            <w:r>
              <w:rPr>
                <w:b w:val="off"/>
                <w:i w:val="off"/>
              </w:rPr>
              <w:t>Per payment</w:t>
            </w:r>
          </w:p>
        </w:tc>
        <w:tc>
          <w:p>
            <w:r>
              <w:rPr>
                <w:b w:val="off"/>
                <w:i w:val="off"/>
              </w:rPr>
              <w:t>Same-day sterling transfer</w:t>
            </w:r>
          </w:p>
        </w:tc>
      </w:tr>
      <w:tr>
        <w:tc>
          <w:p>
            <w:r>
              <w:rPr>
                <w:b w:val="off"/>
                <w:i w:val="off"/>
              </w:rPr>
              <w:t>Stopped cheque</w:t>
            </w:r>
          </w:p>
        </w:tc>
        <w:tc>
          <w:p>
            <w:r>
              <w:rPr>
                <w:b w:val="off"/>
                <w:i w:val="off"/>
              </w:rPr>
              <w:t>£10.00</w:t>
            </w:r>
          </w:p>
        </w:tc>
        <w:tc>
          <w:p>
            <w:r>
              <w:rPr>
                <w:b w:val="off"/>
                <w:i w:val="off"/>
              </w:rPr>
              <w:t>Per item</w:t>
            </w:r>
          </w:p>
        </w:tc>
        <w:tc>
          <w:p>
            <w:r>
              <w:rPr>
                <w:b w:val="off"/>
                <w:i w:val="off"/>
              </w:rPr>
              <w:t>Subject to cheque availability</w:t>
            </w:r>
          </w:p>
        </w:tc>
      </w:tr>
    </w:tbl>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ClauseBody"/>
      </w:pPr>
      <w:r>
        <w:rPr>
          <w:b w:val="off"/>
          <w:i w:val="off"/>
        </w:rPr>
        <w:t xml:space="preserve">Your eligible deposits with </w:t>
      </w:r>
      <w:r>
        <w:rPr>
          <w:b w:val="on"/>
          <w:i w:val="off"/>
        </w:rPr>
        <w:t>Meridian Retail Banking</w:t>
      </w:r>
      <w:r>
        <w:rPr>
          <w:b w:val="off"/>
          <w:i w:val="off"/>
        </w:rPr>
        <w:t xml:space="preserve"> are protected up to a total of £85,000 by the Financial Services Compensation Scheme (FSCS), the UK's deposit guarantee scheme. Any deposits you hold above this limit are unlikely to be covered.</w:t>
      </w:r>
    </w:p>
    <w:p>
      <w:pPr>
        <w:pStyle w:val="ClauseBody"/>
      </w:pPr>
      <w:r>
        <w:rPr>
          <w:b w:val="off"/>
          <w:i w:val="off"/>
        </w:rPr>
        <w:t>This confirmation is provided for information purposes only and does not amend the terms and conditions governing your Account. Please read the enclosed Account terms and conditions carefully and contact us if you have any questions.</w:t>
      </w:r>
    </w:p>
    <w:p>
      <w:pPr>
        <w:sectPr>
          <w:type w:val="nextPage"/>
        </w:sectPr>
      </w:pPr>
    </w:p>
    <w:p>
      <w:pPr>
        <w:jc w:val="left"/>
      </w:pPr>
      <w:r>
        <w:rPr>
          <w:b w:val="on"/>
          <w:sz w:val="24"/>
        </w:rPr>
        <w:t>Digital Banking Services</w:t>
      </w:r>
    </w:p>
    <w:p>
      <w:pPr>
        <w:pStyle w:val="Heading2"/>
      </w:pPr>
      <w:r>
        <w:rPr>
          <w:b w:val="on"/>
          <w:i w:val="off"/>
        </w:rPr>
        <w:t xml:space="preserve">1 </w:t>
      </w:r>
      <w:r>
        <w:rPr>
          <w:b w:val="off"/>
          <w:i w:val="off"/>
        </w:rPr>
        <w:t>Digital Banking Services</w:t>
      </w:r>
    </w:p>
    <w:p>
      <w:pPr>
        <w:pStyle w:val="ClauseBody"/>
      </w:pPr>
      <w:r>
        <w:rPr>
          <w:b w:val="off"/>
          <w:i w:val="off"/>
        </w:rPr>
        <w:t xml:space="preserve">You may register for Meridian Online and Mobile Banking using the activation code enclosed with your welcome pack. Your relationship manager, </w:t>
      </w:r>
      <w:r>
        <w:rPr>
          <w:b w:val="off"/>
          <w:i w:val="off"/>
        </w:rPr>
        <w:t>Sophie Hartley</w:t>
      </w:r>
      <w:r>
        <w:rPr>
          <w:b w:val="off"/>
          <w:i w:val="off"/>
        </w:rPr>
        <w:t xml:space="preserve">, can assist with registration (tel: </w:t>
      </w:r>
      <w:r>
        <w:rPr>
          <w:b w:val="off"/>
          <w:i w:val="off"/>
        </w:rPr>
        <w:t>0800 123 4567</w:t>
      </w:r>
      <w:r>
        <w:rPr>
          <w:b w:val="off"/>
          <w:i w:val="off"/>
        </w:rPr>
        <w:t>).</w:t>
      </w:r>
    </w:p>
    <w:p>
      <w:pPr>
        <w:pStyle w:val="ClauseBody"/>
      </w:pPr>
      <w:r>
        <w:rPr>
          <w:b w:val="off"/>
          <w:i w:val="off"/>
        </w:rPr>
        <w:t>For your security, never share your online banking credentials or one-time passcodes with anyone, including bank staff. We will never ask you to transfer money to a safe account.</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sincerely,</w:t>
      </w:r>
    </w:p>
    <w:p>
      <w:pPr>
        <w:pStyle w:val="SignatureBlock"/>
      </w:pPr>
      <w:r>
        <w:rPr>
          <w:b w:val="on"/>
          <w:i w:val="off"/>
        </w:rPr>
        <w:t>James R. Thornton</w:t>
      </w:r>
    </w:p>
    <w:p>
      <w:pPr>
        <w:pStyle w:val="SignatureBlock"/>
      </w:pPr>
      <w:r>
        <w:rPr>
          <w:b w:val="off"/>
          <w:i w:val="off"/>
        </w:rPr>
        <w:t>Branch Manager — Manchester Deansgate</w:t>
      </w:r>
    </w:p>
    <w:p>
      <w:pPr>
        <w:pStyle w:val="SignatureBlock"/>
      </w:pPr>
      <w:r>
        <w:rPr>
          <w:b w:val="off"/>
          <w:i w:val="off"/>
        </w:rPr>
        <w:t>Meridian Retail Banking</w:t>
      </w:r>
    </w:p>
    <w:p>
      <w:pPr>
        <w:sectPr>
          <w:type w:val="nextPage"/>
        </w:sectPr>
      </w:pPr>
    </w:p>
    <w:p>
      <w:pPr>
        <w:jc w:val="left"/>
      </w:pPr>
      <w:r>
        <w:rPr>
          <w:b w:val="on"/>
          <w:sz w:val="24"/>
        </w:rPr>
        <w:t>Important Information</w:t>
      </w:r>
    </w:p>
    <w:p>
      <w:pPr>
        <w:pStyle w:val="Heading2"/>
      </w:pPr>
      <w:r>
        <w:rPr>
          <w:b w:val="on"/>
          <w:i w:val="off"/>
        </w:rPr>
        <w:t xml:space="preserve">1 </w:t>
      </w:r>
      <w:r>
        <w:rPr>
          <w:b w:val="off"/>
          <w:i w:val="off"/>
        </w:rPr>
        <w:t>Important Information</w:t>
      </w:r>
    </w:p>
    <w:p>
      <w:pPr>
        <w:pStyle w:val="ClauseBody"/>
      </w:pPr>
      <w:r>
        <w:rPr>
          <w:b w:val="off"/>
          <w:i w:val="off"/>
        </w:rPr>
        <w:t>This is a demonstration document issued for system testing purposes. It does not constitute a contractual offer or amendment to your Account terms and conditions.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Customer Service: 0800 123 4567  |  42 High Street, Manchester M1 1AA  |  FSCS protected deposits</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6633"/>
      </w:rPr>
      <w:t>Meridian Retail Banking — Customer Correspondence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2026-07-20T11:01:07Z</dcterms:created>
  <dc:creator>Apache POI</dc:creator>
</cp:coreProperties>
</file>