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Account Closure Confirmation</w:t>
      </w:r>
    </w:p>
    <w:p>
      <w:pPr>
        <w:jc w:val="left"/>
      </w:pPr>
      <w:r>
        <w:rPr>
          <w:b w:val="on"/>
          <w:sz w:val="24"/>
        </w:rPr>
        <w:t>Parties</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Thomas Nguyen</w:t>
      </w:r>
    </w:p>
    <w:p>
      <w:pPr>
        <w:pStyle w:val="ClauseBody"/>
      </w:pPr>
      <w:r>
        <w:rPr>
          <w:b w:val="off"/>
          <w:i w:val="off"/>
        </w:rPr>
        <w:t>62 Harbour Road, Southampton SO14 3QY</w:t>
      </w:r>
    </w:p>
    <w:p>
      <w:pPr>
        <w:pStyle w:val="ClauseBody"/>
      </w:pPr>
      <w:r>
        <w:rPr>
          <w:b w:val="off"/>
          <w:i w:val="off"/>
        </w:rPr>
        <w:t xml:space="preserve">Dear </w:t>
      </w:r>
      <w:r>
        <w:rPr>
          <w:b w:val="off"/>
          <w:i w:val="off"/>
        </w:rPr>
        <w:t>Thomas Nguyen</w:t>
      </w:r>
      <w:r>
        <w:rPr>
          <w:b w:val="off"/>
          <w:i w:val="off"/>
        </w:rPr>
        <w:t>,</w:t>
      </w:r>
    </w:p>
    <w:p>
      <w:pPr>
        <w:pStyle w:val="ClauseBody"/>
      </w:pPr>
      <w:r>
        <w:rPr>
          <w:b w:val="off"/>
          <w:i w:val="off"/>
        </w:rPr>
        <w:t xml:space="preserve">Re: Account Closure Confirmation — </w:t>
      </w:r>
      <w:r>
        <w:rPr>
          <w:b w:val="on"/>
          <w:i w:val="off"/>
        </w:rPr>
        <w:t>Meridian Everyday Current Account</w:t>
      </w:r>
      <w:r>
        <w:rPr>
          <w:b w:val="off"/>
          <w:i w:val="off"/>
        </w:rPr>
        <w:t xml:space="preserve"> ending </w:t>
      </w:r>
      <w:r>
        <w:rPr>
          <w:b w:val="off"/>
          <w:i w:val="off"/>
          <w:u w:val="single"/>
        </w:rPr>
        <w:t>****9033</w:t>
      </w:r>
    </w:p>
    <w:p>
      <w:pPr>
        <w:pStyle w:val="ClauseBody"/>
      </w:pPr>
      <w:r>
        <w:rPr>
          <w:b w:val="off"/>
          <w:i w:val="off"/>
        </w:rPr>
        <w:t xml:space="preserve">We, </w:t>
      </w:r>
      <w:r>
        <w:rPr>
          <w:b w:val="on"/>
          <w:i w:val="off"/>
        </w:rPr>
        <w:t>Meridian Retail Banking</w:t>
      </w:r>
      <w:r>
        <w:rPr>
          <w:b w:val="off"/>
          <w:i w:val="off"/>
        </w:rPr>
        <w:t xml:space="preserve"> of </w:t>
      </w:r>
      <w:r>
        <w:rPr>
          <w:b w:val="off"/>
          <w:i w:val="off"/>
        </w:rPr>
        <w:t>1 Churchill Place, London E14 5HP, United Kingdom</w:t>
      </w:r>
      <w:r>
        <w:rPr>
          <w:b w:val="off"/>
          <w:i w:val="off"/>
        </w:rPr>
        <w:t xml:space="preserve"> (the Bank), confirm the closure of your account as set out below.</w:t>
      </w:r>
    </w:p>
    <w:p>
      <w:pPr>
        <w:sectPr>
          <w:type w:val="nextPage"/>
          <w:pgNumType w:start="1"/>
        </w:sectPr>
      </w:pPr>
    </w:p>
    <w:p>
      <w:pPr>
        <w:jc w:val="left"/>
      </w:pPr>
      <w:r>
        <w:rPr>
          <w:b w:val="on"/>
          <w:sz w:val="24"/>
        </w:rPr>
        <w:t>Account and Definitions</w:t>
      </w:r>
    </w:p>
    <w:p>
      <w:pPr>
        <w:pStyle w:val="Heading2"/>
      </w:pPr>
      <w:r>
        <w:rPr>
          <w:b w:val="on"/>
          <w:i w:val="off"/>
        </w:rPr>
        <w:t xml:space="preserve">1 </w:t>
      </w:r>
      <w:r>
        <w:rPr>
          <w:b w:val="off"/>
          <w:i w:val="off"/>
        </w:rPr>
        <w:t>Account Identification</w:t>
      </w:r>
    </w:p>
    <w:p>
      <w:pPr>
        <w:pStyle w:val="ClauseBody"/>
      </w:pPr>
      <w:r>
        <w:rPr>
          <w:b w:val="off"/>
          <w:i w:val="off"/>
        </w:rPr>
        <w:t xml:space="preserve">Account name: </w:t>
      </w:r>
      <w:r>
        <w:rPr>
          <w:b w:val="on"/>
          <w:i w:val="off"/>
        </w:rPr>
        <w:t>Thomas Nguyen</w:t>
      </w:r>
    </w:p>
    <w:p>
      <w:pPr>
        <w:pStyle w:val="ClauseBody"/>
      </w:pPr>
      <w:r>
        <w:rPr>
          <w:b w:val="off"/>
          <w:i w:val="off"/>
        </w:rPr>
        <w:t xml:space="preserve">Product: </w:t>
      </w:r>
      <w:r>
        <w:rPr>
          <w:b w:val="off"/>
          <w:i w:val="off"/>
        </w:rPr>
        <w:t>Meridian Everyday Current Account</w:t>
      </w:r>
    </w:p>
    <w:p>
      <w:pPr>
        <w:pStyle w:val="ClauseBody"/>
      </w:pPr>
      <w:r>
        <w:rPr>
          <w:b w:val="off"/>
          <w:i w:val="off"/>
        </w:rPr>
        <w:t xml:space="preserve">Sort code: </w:t>
      </w:r>
      <w:r>
        <w:rPr>
          <w:b w:val="off"/>
          <w:i w:val="off"/>
        </w:rPr>
        <w:t>20-45-78</w:t>
      </w:r>
      <w:r>
        <w:rPr>
          <w:b w:val="off"/>
          <w:i w:val="off"/>
        </w:rPr>
        <w:t xml:space="preserve"> | Account number (masked): </w:t>
      </w:r>
      <w:r>
        <w:rPr>
          <w:b w:val="on"/>
          <w:i w:val="off"/>
        </w:rPr>
        <w:t>****9033</w:t>
      </w:r>
    </w:p>
    <w:p>
      <w:pPr>
        <w:pStyle w:val="ClauseBody"/>
      </w:pPr>
      <w:r>
        <w:rPr>
          <w:b w:val="off"/>
          <w:i w:val="off"/>
        </w:rPr>
        <w:t xml:space="preserve">Closure reason: </w:t>
      </w:r>
      <w:r>
        <w:rPr>
          <w:b w:val="off"/>
          <w:i w:val="off"/>
        </w:rPr>
        <w:t>Customer-requested closure following transfer of banking relationship</w:t>
      </w:r>
    </w:p>
    <w:p>
      <w:pPr>
        <w:pStyle w:val="Heading2"/>
      </w:pPr>
      <w:r>
        <w:rPr>
          <w:b w:val="on"/>
          <w:i w:val="off"/>
        </w:rPr>
        <w:t xml:space="preserve">1 </w:t>
      </w:r>
      <w:r>
        <w:rPr>
          <w:b w:val="off"/>
          <w:i w:val="off"/>
        </w:rPr>
        <w:t>Defined Terms</w:t>
      </w:r>
    </w:p>
    <w:p>
      <w:pPr>
        <w:pStyle w:val="DefinedTerm"/>
      </w:pPr>
      <w:r>
        <w:rPr>
          <w:b w:val="off"/>
          <w:i w:val="off"/>
        </w:rPr>
        <w:t>"Account"</w:t>
      </w:r>
      <w:r>
        <w:rPr>
          <w:b w:val="off"/>
          <w:i w:val="off"/>
        </w:rPr>
        <w:t xml:space="preserve"> means the </w:t>
      </w:r>
      <w:r>
        <w:rPr>
          <w:b w:val="off"/>
          <w:i w:val="off"/>
        </w:rPr>
        <w:t>Meridian Everyday Current Account</w:t>
      </w:r>
      <w:r>
        <w:rPr>
          <w:b w:val="off"/>
          <w:i w:val="off"/>
        </w:rPr>
        <w:t xml:space="preserve"> held in the name of </w:t>
      </w:r>
      <w:r>
        <w:rPr>
          <w:b w:val="on"/>
          <w:i w:val="off"/>
        </w:rPr>
        <w:t>Thomas Nguyen</w:t>
      </w:r>
      <w:r>
        <w:rPr>
          <w:b w:val="off"/>
          <w:i w:val="off"/>
        </w:rPr>
        <w:t xml:space="preserve"> with masked number </w:t>
      </w:r>
      <w:r>
        <w:rPr>
          <w:b w:val="off"/>
          <w:i w:val="off"/>
          <w:u w:val="single"/>
        </w:rPr>
        <w:t>****9033</w:t>
      </w:r>
      <w:r>
        <w:rPr>
          <w:b w:val="off"/>
          <w:i w:val="off"/>
        </w:rPr>
        <w:t>.</w:t>
      </w:r>
    </w:p>
    <w:p>
      <w:pPr>
        <w:pStyle w:val="DefinedTerm"/>
      </w:pPr>
      <w:r>
        <w:rPr>
          <w:b w:val="off"/>
          <w:i w:val="off"/>
        </w:rPr>
        <w:t>"Closure Effective Date"</w:t>
      </w:r>
      <w:r>
        <w:rPr>
          <w:b w:val="off"/>
          <w:i w:val="off"/>
        </w:rPr>
        <w:t xml:space="preserve"> means </w:t>
      </w:r>
      <w:r>
        <w:rPr>
          <w:b w:val="off"/>
          <w:i w:val="off"/>
        </w:rPr>
        <w:t>2026-08-05</w:t>
      </w:r>
      <w:r>
        <w:rPr>
          <w:b w:val="off"/>
          <w:i w:val="off"/>
        </w:rPr>
        <w:t>.</w:t>
      </w:r>
    </w:p>
    <w:p>
      <w:pPr>
        <w:pStyle w:val="DefinedTerm"/>
      </w:pPr>
      <w:r>
        <w:rPr>
          <w:b w:val="off"/>
          <w:i w:val="off"/>
        </w:rPr>
        <w:t>"Closing Balance"</w:t>
      </w:r>
      <w:r>
        <w:rPr>
          <w:b w:val="off"/>
          <w:i w:val="off"/>
        </w:rPr>
        <w:t xml:space="preserve"> means the cleared credit balance of </w:t>
      </w:r>
      <w:r>
        <w:rPr>
          <w:b w:val="on"/>
          <w:i w:val="off"/>
        </w:rPr>
        <w:t>GBP</w:t>
      </w:r>
      <w:r>
        <w:rPr>
          <w:b w:val="off"/>
          <w:i w:val="off"/>
        </w:rPr>
        <w:t xml:space="preserve"> </w:t>
      </w:r>
      <w:r>
        <w:rPr>
          <w:b w:val="on"/>
          <w:i w:val="off"/>
        </w:rPr>
        <w:t>1,842.67</w:t>
      </w:r>
      <w:r>
        <w:rPr>
          <w:b w:val="off"/>
          <w:i w:val="off"/>
        </w:rPr>
        <w:t xml:space="preserve"> shown for illustrative purposes as at the letter date, subject to final calculation.</w:t>
      </w:r>
    </w:p>
    <w:p>
      <w:pPr>
        <w:sectPr>
          <w:type w:val="nextPage"/>
          <w:pgNumType w:start="1"/>
        </w:sectPr>
      </w:pPr>
    </w:p>
    <w:p>
      <w:pPr>
        <w:jc w:val="left"/>
      </w:pPr>
      <w:r>
        <w:rPr>
          <w:b w:val="on"/>
          <w:sz w:val="24"/>
        </w:rPr>
        <w:t>Closure Terms</w:t>
      </w:r>
    </w:p>
    <w:p>
      <w:pPr>
        <w:pStyle w:val="Heading2"/>
      </w:pPr>
      <w:r>
        <w:rPr>
          <w:b w:val="on"/>
          <w:i w:val="off"/>
        </w:rPr>
        <w:t xml:space="preserve">1 </w:t>
      </w:r>
      <w:r>
        <w:rPr>
          <w:b w:val="off"/>
          <w:i w:val="off"/>
        </w:rPr>
        <w:t>Closure Terms</w:t>
      </w:r>
    </w:p>
    <w:p>
      <w:pPr>
        <w:pStyle w:val="ClauseBody"/>
      </w:pPr>
      <w:r>
        <w:rPr>
          <w:b w:val="off"/>
          <w:i w:val="off"/>
        </w:rPr>
        <w:t xml:space="preserve">The Account will be closed with effect from </w:t>
      </w:r>
      <w:r>
        <w:rPr>
          <w:b w:val="on"/>
          <w:i w:val="off"/>
        </w:rPr>
        <w:t>2026-08-05</w:t>
      </w:r>
      <w:r>
        <w:rPr>
          <w:b w:val="off"/>
          <w:i w:val="off"/>
        </w:rPr>
        <w:t xml:space="preserve"> (the Closure Effective Date).</w:t>
      </w:r>
    </w:p>
    <w:p>
      <w:pPr>
        <w:pStyle w:val="BodyText"/>
      </w:pPr>
      <w:r>
        <w:rPr>
          <w:b w:val="off"/>
          <w:i w:val="off"/>
        </w:rPr>
        <w:t>Closure confirmation: Meridian Retail Banking confirms that the Account identified in this notice will be closed with effect from the Closure Effective Date, subject to clearance of any pending transactions initiated before that date.</w:t>
      </w:r>
    </w:p>
    <w:p>
      <w:pPr>
        <w:pStyle w:val="BodyText"/>
      </w:pPr>
      <w:r>
        <w:rPr>
          <w:b w:val="off"/>
          <w:i w:val="off"/>
        </w:rPr>
        <w:t>Payment instructions and standing orders: All standing orders, direct debits and recurring payment mandates linked to the Account will cease on the Closure Effective Date. You remain responsible for arranging alternative payment methods with payees before closure.</w:t>
      </w:r>
    </w:p>
    <w:p>
      <w:pPr>
        <w:pStyle w:val="BodyText"/>
      </w:pPr>
      <w:r>
        <w:rPr>
          <w:b w:val="off"/>
          <w:i w:val="off"/>
        </w:rPr>
        <w:t>Cards and access: Debit cards, online banking access credentials and cheque books relating solely to the Account will be cancelled on the Closure Effective Date. Please destroy physical cards and unused cheques securely.</w:t>
      </w:r>
    </w:p>
    <w:p>
      <w:pPr>
        <w:pStyle w:val="BodyText"/>
      </w:pPr>
      <w:r>
        <w:rPr>
          <w:b w:val="off"/>
          <w:i w:val="off"/>
        </w:rPr>
        <w:t>Interest and charges: Accrued interest (if any) will be calculated to the Closure Effective Date and credited or debited in accordance with the account terms. Outstanding fees lawfully due may be deducted from any closing balance before remittance.</w:t>
      </w:r>
    </w:p>
    <w:p>
      <w:pPr>
        <w:pStyle w:val="Heading2"/>
      </w:pPr>
      <w:r>
        <w:rPr>
          <w:b w:val="on"/>
          <w:i w:val="off"/>
        </w:rPr>
        <w:t xml:space="preserve">1 </w:t>
      </w:r>
      <w:r>
        <w:rPr>
          <w:b w:val="off"/>
          <w:i w:val="off"/>
        </w:rPr>
        <w:t>Balance and Interest Handling</w:t>
      </w:r>
    </w:p>
    <w:p>
      <w:pPr>
        <w:pStyle w:val="ClauseBody"/>
      </w:pPr>
      <w:r>
        <w:rPr>
          <w:b w:val="off"/>
          <w:i w:val="off"/>
        </w:rPr>
        <w:t xml:space="preserve">The indicative Closing Balance is </w:t>
      </w:r>
      <w:r>
        <w:rPr>
          <w:b w:val="on"/>
          <w:i w:val="off"/>
        </w:rPr>
        <w:t>GBP</w:t>
      </w:r>
      <w:r>
        <w:rPr>
          <w:b w:val="off"/>
          <w:i w:val="off"/>
        </w:rPr>
        <w:t xml:space="preserve"> </w:t>
      </w:r>
      <w:r>
        <w:rPr>
          <w:b w:val="on"/>
          <w:i w:val="off"/>
        </w:rPr>
        <w:t>1,842.67</w:t>
      </w:r>
      <w:r>
        <w:rPr>
          <w:b w:val="off"/>
          <w:i w:val="off"/>
        </w:rPr>
        <w:t xml:space="preserve">. Subject to final reconciliation, any cleared credit balance will be remitted to </w:t>
      </w:r>
      <w:r>
        <w:rPr>
          <w:b w:val="on"/>
          <w:i w:val="off"/>
        </w:rPr>
        <w:t>****6612 (sort code 40-12-18)</w:t>
      </w:r>
      <w:r>
        <w:rPr>
          <w:b w:val="off"/>
          <w:i w:val="off"/>
        </w:rPr>
        <w:t>.</w:t>
      </w:r>
    </w:p>
    <w:p>
      <w:pPr>
        <w:pStyle w:val="ClauseBody"/>
      </w:pPr>
      <w:r>
        <w:rPr>
          <w:b w:val="off"/>
          <w:i w:val="off"/>
        </w:rPr>
        <w:t>If the Account is overdrawn on the Closure Effective Date, you remain liable for the debit balance and any lawful interest and charges until paid in full.</w:t>
      </w:r>
    </w:p>
    <w:p>
      <w:pPr>
        <w:sectPr>
          <w:type w:val="nextPage"/>
          <w:pgNumType w:start="1"/>
        </w:sectPr>
      </w:pPr>
    </w:p>
    <w:p>
      <w:pPr>
        <w:jc w:val="left"/>
      </w:pPr>
      <w:r>
        <w:rPr>
          <w:b w:val="on"/>
          <w:sz w:val="24"/>
        </w:rPr>
        <w:t>Next Steps and Closing</w:t>
      </w:r>
    </w:p>
    <w:p>
      <w:pPr>
        <w:pStyle w:val="Heading2"/>
      </w:pPr>
      <w:r>
        <w:rPr>
          <w:b w:val="on"/>
          <w:i w:val="off"/>
        </w:rPr>
        <w:t xml:space="preserve">1 </w:t>
      </w:r>
      <w:r>
        <w:rPr>
          <w:b w:val="off"/>
          <w:i w:val="off"/>
        </w:rPr>
        <w:t>Final Statement and Next Steps</w:t>
      </w:r>
    </w:p>
    <w:p>
      <w:pPr>
        <w:pStyle w:val="BodyText"/>
      </w:pPr>
      <w:r>
        <w:rPr>
          <w:b w:val="off"/>
          <w:i w:val="off"/>
        </w:rPr>
        <w:t>Final statement: A final statement covering the period to the Closure Effective Date will be issued to your correspondence address (or secure inbox) within ten Business Days after closure.</w:t>
      </w:r>
    </w:p>
    <w:p>
      <w:pPr>
        <w:pStyle w:val="ScheduleTitle"/>
      </w:pPr>
      <w:r>
        <w:rPr>
          <w:b w:val="off"/>
          <w:i w:val="off"/>
        </w:rPr>
        <w:t>Schedule 1 — Customer Action Checklist</w:t>
      </w:r>
    </w:p>
    <w:p/>
    <w:tbl>
      <w:tblPr>
        <w:tblW w:w="0" w:type="auto"/>
        <w:tblBorders>
          <w:top w:val="single"/>
          <w:left w:val="single"/>
          <w:bottom w:val="single"/>
          <w:right w:val="single"/>
          <w:insideH w:val="single"/>
          <w:insideV w:val="single"/>
        </w:tblBorders>
      </w:tblPr>
      <w:tr>
        <w:tc>
          <w:p>
            <w:pPr>
              <w:pStyle w:val="TableHeader"/>
            </w:pPr>
            <w:r>
              <w:rPr>
                <w:b w:val="on"/>
                <w:i w:val="off"/>
              </w:rPr>
              <w:t>Step</w:t>
            </w:r>
          </w:p>
        </w:tc>
        <w:tc>
          <w:p>
            <w:pPr>
              <w:pStyle w:val="TableHeader"/>
            </w:pPr>
            <w:r>
              <w:rPr>
                <w:b w:val="on"/>
                <w:i w:val="off"/>
              </w:rPr>
              <w:t>Action</w:t>
            </w:r>
          </w:p>
        </w:tc>
      </w:tr>
      <w:tr>
        <w:tc>
          <w:p>
            <w:r>
              <w:rPr>
                <w:b w:val="off"/>
                <w:i w:val="off"/>
              </w:rPr>
              <w:t>1</w:t>
            </w:r>
          </w:p>
        </w:tc>
        <w:tc>
          <w:p>
            <w:r>
              <w:rPr>
                <w:b w:val="off"/>
                <w:i w:val="off"/>
              </w:rPr>
              <w:t>Cancel standing orders and direct debits linked to the Account</w:t>
            </w:r>
          </w:p>
        </w:tc>
      </w:tr>
      <w:tr>
        <w:tc>
          <w:p>
            <w:r>
              <w:rPr>
                <w:b w:val="off"/>
                <w:i w:val="off"/>
              </w:rPr>
              <w:t>2</w:t>
            </w:r>
          </w:p>
        </w:tc>
        <w:tc>
          <w:p>
            <w:r>
              <w:rPr>
                <w:b w:val="off"/>
                <w:i w:val="off"/>
              </w:rPr>
              <w:t>Destroy debit cards and unused cheques</w:t>
            </w:r>
          </w:p>
        </w:tc>
      </w:tr>
      <w:tr>
        <w:tc>
          <w:p>
            <w:r>
              <w:rPr>
                <w:b w:val="off"/>
                <w:i w:val="off"/>
              </w:rPr>
              <w:t>3</w:t>
            </w:r>
          </w:p>
        </w:tc>
        <w:tc>
          <w:p>
            <w:r>
              <w:rPr>
                <w:b w:val="off"/>
                <w:i w:val="off"/>
              </w:rPr>
              <w:t>Await final statement within ten Business Days after closure</w:t>
            </w:r>
          </w:p>
        </w:tc>
      </w:tr>
      <w:tr>
        <w:tc>
          <w:p>
            <w:r>
              <w:rPr>
                <w:b w:val="off"/>
                <w:i w:val="off"/>
              </w:rPr>
              <w:t>4</w:t>
            </w:r>
          </w:p>
        </w:tc>
        <w:tc>
          <w:p>
            <w:r>
              <w:rPr>
                <w:b w:val="off"/>
                <w:i w:val="off"/>
              </w:rPr>
              <w:t>Confirm receipt of closing balance remittance to the destination account</w:t>
            </w:r>
          </w:p>
        </w:tc>
      </w:tr>
    </w:tbl>
    <w:p>
      <w:pPr>
        <w:pStyle w:val="BodyText"/>
      </w:pPr>
      <w:r>
        <w:rPr>
          <w:b w:val="off"/>
          <w:i w:val="off"/>
        </w:rPr>
        <w:t>Closing balance remittance: Any cleared credit balance remaining after deduction of lawful charges will be remitted to the nominated destination account stated in this notice, ordinarily within five Business Days after the Closure Effective Date.</w:t>
      </w:r>
    </w:p>
    <w:p>
      <w:pPr>
        <w:pStyle w:val="BodyText"/>
      </w:pPr>
      <w:r>
        <w:rPr>
          <w:b w:val="off"/>
          <w:i w:val="off"/>
        </w:rPr>
        <w:t>Residual items: If any uncleared item, chargeback or reclaim arises after closure, Meridian Retail Banking may reopen a suspense ledger solely to process that item and will notify you in writing.</w:t>
      </w:r>
    </w:p>
    <w:p>
      <w:pPr>
        <w:pStyle w:val="BodyText"/>
      </w:pPr>
      <w:r>
        <w:rPr>
          <w:b w:val="off"/>
          <w:i w:val="off"/>
        </w:rPr>
        <w:t>Records retention: Account records will be retained for the period required by applicable law and Meridian Retail Banking's retention policy.</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Retail Banking</w:t>
      </w:r>
    </w:p>
    <w:p>
      <w:pPr>
        <w:pStyle w:val="SignatureBlock"/>
      </w:pPr>
      <w:r>
        <w:rPr>
          <w:b w:val="off"/>
          <w:i w:val="off"/>
        </w:rPr>
        <w:t>_____________________________</w:t>
      </w:r>
    </w:p>
    <w:p>
      <w:pPr>
        <w:pStyle w:val="SignatureBlock"/>
      </w:pPr>
      <w:r>
        <w:rPr>
          <w:b w:val="on"/>
          <w:i w:val="off"/>
        </w:rPr>
        <w:t>Rachel Okonkwo</w:t>
      </w:r>
    </w:p>
    <w:p>
      <w:pPr>
        <w:pStyle w:val="SignatureBlock"/>
      </w:pPr>
      <w:r>
        <w:rPr>
          <w:b w:val="off"/>
          <w:i w:val="off"/>
        </w:rPr>
        <w:t>Manager, Account Services — Customer Operations</w:t>
      </w:r>
    </w:p>
    <w:p>
      <w:pPr>
        <w:pStyle w:val="SignatureBlock"/>
      </w:pPr>
      <w:r>
        <w:rPr>
          <w:b w:val="off"/>
          <w:i w:val="off"/>
        </w:rPr>
        <w:t>1 Churchill Place, London E14 5HP,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1 Churchill Place, London E14 5HP  |  Meridian Retail Banking  |  FCA regulated</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Retail Banking — Customer Operations</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2026-07-20T11:00:40Z</dcterms:created>
  <dc:creator>Apache POI</dc:creator>
</cp:coreProperties>
</file>