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Facility Amendment and Variation Letter</w:t>
      </w:r>
    </w:p>
    <w:p>
      <w:pPr>
        <w:jc w:val="left"/>
      </w:pPr>
      <w:r>
        <w:rPr>
          <w:b w:val="on"/>
          <w:sz w:val="24"/>
        </w:rPr>
        <w:t>Parties and Recital</w:t>
      </w:r>
    </w:p>
    <w:p>
      <w:pPr>
        <w:pStyle w:val="ClauseBody"/>
      </w:pPr>
      <w:r>
        <w:rPr>
          <w:b w:val="off"/>
          <w:i w:val="off"/>
        </w:rPr>
        <w:t xml:space="preserve">Date: </w:t>
      </w:r>
      <w:r>
        <w:rPr>
          <w:b w:val="off"/>
          <w:i w:val="off"/>
        </w:rPr>
        <w:t>2026-07-20</w:t>
      </w:r>
    </w:p>
    <w:p>
      <w:pPr>
        <w:pStyle w:val="ClauseBody"/>
      </w:pPr>
      <w:r>
        <w:rPr>
          <w:b w:val="off"/>
          <w:i w:val="off"/>
        </w:rPr>
        <w:t xml:space="preserve">To: </w:t>
      </w:r>
      <w:r>
        <w:rPr>
          <w:b w:val="on"/>
          <w:i w:val="off"/>
        </w:rPr>
        <w:t>Pacific Rim Holdings Pte. Ltd.</w:t>
      </w:r>
    </w:p>
    <w:p>
      <w:pPr>
        <w:pStyle w:val="ClauseBody"/>
      </w:pPr>
      <w:r>
        <w:rPr>
          <w:b w:val="off"/>
          <w:i w:val="off"/>
        </w:rPr>
        <w:t>8 Marina Boulevard, #22-01, Marina Bay Financial Centre, Singapore 018981</w:t>
      </w:r>
    </w:p>
    <w:p>
      <w:pPr>
        <w:pStyle w:val="ClauseBody"/>
      </w:pPr>
      <w:r>
        <w:rPr>
          <w:b w:val="off"/>
          <w:i w:val="off"/>
        </w:rPr>
        <w:t>Singapore</w:t>
      </w:r>
    </w:p>
    <w:p>
      <w:pPr>
        <w:pStyle w:val="ClauseBody"/>
      </w:pPr>
      <w:r>
        <w:rPr>
          <w:b w:val="off"/>
          <w:i w:val="off"/>
        </w:rPr>
        <w:t>Dear Sirs,</w:t>
      </w:r>
    </w:p>
    <w:p>
      <w:pPr>
        <w:pStyle w:val="ClauseBody"/>
      </w:pPr>
      <w:r>
        <w:rPr>
          <w:b w:val="off"/>
          <w:i w:val="off"/>
        </w:rPr>
        <w:t xml:space="preserve">Re: Facility Amendment and Variation Letter — Facility Reference </w:t>
      </w:r>
      <w:r>
        <w:rPr>
          <w:b w:val="off"/>
          <w:i w:val="off"/>
          <w:u w:val="single"/>
        </w:rPr>
        <w:t>CORP-FAC-2024-77102</w:t>
      </w:r>
      <w:r>
        <w:rPr>
          <w:b w:val="off"/>
          <w:i w:val="off"/>
        </w:rPr>
        <w:t xml:space="preserve"> / Amendment Reference </w:t>
      </w:r>
      <w:r>
        <w:rPr>
          <w:b w:val="off"/>
          <w:i w:val="off"/>
          <w:u w:val="single"/>
        </w:rPr>
        <w:t>AMD-2026-FAC-77102-01</w:t>
      </w:r>
    </w:p>
    <w:p>
      <w:pPr>
        <w:pStyle w:val="ClauseBody"/>
      </w:pPr>
      <w:r>
        <w:rPr>
          <w:b w:val="off"/>
          <w:i w:val="off"/>
        </w:rPr>
        <w:t xml:space="preserve">We, </w:t>
      </w:r>
      <w:r>
        <w:rPr>
          <w:b w:val="on"/>
          <w:i w:val="off"/>
        </w:rPr>
        <w:t>Meridian Global Banking Corporation</w:t>
      </w:r>
      <w:r>
        <w:rPr>
          <w:b w:val="off"/>
          <w:i w:val="off"/>
        </w:rPr>
        <w:t xml:space="preserve"> of </w:t>
      </w:r>
      <w:r>
        <w:rPr>
          <w:b w:val="off"/>
          <w:i w:val="off"/>
        </w:rPr>
        <w:t>25 Lombard Street, London EC3V 9AA, United Kingdom</w:t>
      </w:r>
      <w:r>
        <w:rPr>
          <w:b w:val="off"/>
          <w:i w:val="off"/>
        </w:rPr>
        <w:t xml:space="preserve"> (the Bank / Agent), acting through </w:t>
      </w:r>
      <w:r>
        <w:rPr>
          <w:b w:val="off"/>
          <w:i w:val="off"/>
        </w:rPr>
        <w:t>Wholesale Banking — Corporate Credit</w:t>
      </w:r>
      <w:r>
        <w:rPr>
          <w:b w:val="off"/>
          <w:i w:val="off"/>
        </w:rPr>
        <w:t xml:space="preserve">, refer to the facility agreement dated </w:t>
      </w:r>
      <w:r>
        <w:rPr>
          <w:b w:val="off"/>
          <w:i w:val="off"/>
        </w:rPr>
        <w:t>2024-03-15</w:t>
      </w:r>
      <w:r>
        <w:rPr>
          <w:b w:val="off"/>
          <w:i w:val="off"/>
        </w:rPr>
        <w:t xml:space="preserve"> between the Bank and </w:t>
      </w:r>
      <w:r>
        <w:rPr>
          <w:b w:val="on"/>
          <w:i w:val="off"/>
        </w:rPr>
        <w:t>Pacific Rim Holdings Pte. Ltd.</w:t>
      </w:r>
      <w:r>
        <w:rPr>
          <w:b w:val="off"/>
          <w:i w:val="off"/>
        </w:rPr>
        <w:t xml:space="preserve"> (the Borrower) identified by facility reference </w:t>
      </w:r>
      <w:r>
        <w:rPr>
          <w:b w:val="off"/>
          <w:i w:val="off"/>
          <w:u w:val="single"/>
        </w:rPr>
        <w:t>CORP-FAC-2024-77102</w:t>
      </w:r>
      <w:r>
        <w:rPr>
          <w:b w:val="off"/>
          <w:i w:val="off"/>
        </w:rPr>
        <w:t xml:space="preserve"> (the Original Facility Agreement).</w:t>
      </w:r>
    </w:p>
    <w:p>
      <w:pPr>
        <w:pStyle w:val="ClauseBody"/>
      </w:pPr>
      <w:r>
        <w:rPr>
          <w:b w:val="off"/>
          <w:i w:val="off"/>
        </w:rPr>
        <w:t xml:space="preserve">The obligations of the Borrower continue to be guaranteed by </w:t>
      </w:r>
      <w:r>
        <w:rPr>
          <w:b w:val="on"/>
          <w:i w:val="off"/>
        </w:rPr>
        <w:t>Pacific Rim Group Holdings Ltd.</w:t>
      </w:r>
      <w:r>
        <w:rPr>
          <w:b w:val="off"/>
          <w:i w:val="off"/>
        </w:rPr>
        <w:t xml:space="preserve"> (the Guarantor). By countersigning this letter, the Guarantor consents to the variations and confirms that its guarantee and indemnity remain in full force and effect.</w:t>
      </w:r>
    </w:p>
    <w:p>
      <w:pPr>
        <w:pStyle w:val="ClauseBody"/>
      </w:pPr>
      <w:r>
        <w:rPr>
          <w:b w:val="off"/>
          <w:i w:val="off"/>
        </w:rPr>
        <w:t>This letter sets out the agreed amendments to the Original Facility Agreement. Capitalised terms used but not defined herein have the meanings given in the Original Facility Agreement.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"Amendment Effective Date"</w:t>
      </w:r>
      <w:r>
        <w:rPr>
          <w:b w:val="off"/>
          <w:i w:val="off"/>
        </w:rPr>
        <w:t xml:space="preserve"> means </w:t>
      </w:r>
      <w:r>
        <w:rPr>
          <w:b w:val="off"/>
          <w:i w:val="off"/>
        </w:rPr>
        <w:t>2026-08-01</w:t>
      </w:r>
      <w:r>
        <w:rPr>
          <w:b w:val="off"/>
          <w:i w:val="off"/>
        </w:rPr>
        <w:t>, or such later date as the Agent confirms in writing that the conditions to effectiveness have been satisfied.</w:t>
      </w:r>
    </w:p>
    <w:p>
      <w:pPr>
        <w:pStyle w:val="DefinedTerm"/>
      </w:pPr>
      <w:r>
        <w:rPr>
          <w:b w:val="off"/>
          <w:i w:val="off"/>
        </w:rPr>
        <w:t>"Amendment Letter"</w:t>
      </w:r>
      <w:r>
        <w:rPr>
          <w:b w:val="off"/>
          <w:i w:val="off"/>
        </w:rPr>
        <w:t xml:space="preserve"> means this facility amendment and variation letter, including the Variation Schedule.</w:t>
      </w:r>
    </w:p>
    <w:p>
      <w:pPr>
        <w:pStyle w:val="DefinedTerm"/>
      </w:pPr>
      <w:r>
        <w:rPr>
          <w:b w:val="off"/>
          <w:i w:val="off"/>
        </w:rPr>
        <w:t>"Amended Commitment"</w:t>
      </w:r>
      <w:r>
        <w:rPr>
          <w:b w:val="off"/>
          <w:i w:val="off"/>
        </w:rPr>
        <w:t xml:space="preserve"> means the aggregate commitment of </w:t>
      </w:r>
      <w:r>
        <w:rPr>
          <w:b w:val="on"/>
          <w:i w:val="off"/>
        </w:rPr>
        <w:t>USD</w:t>
      </w:r>
      <w:r>
        <w:rPr>
          <w:b w:val="off"/>
          <w:i w:val="off"/>
        </w:rPr>
        <w:t xml:space="preserve"> </w:t>
      </w:r>
      <w:r>
        <w:rPr>
          <w:b w:val="on"/>
          <w:i w:val="off"/>
        </w:rPr>
        <w:t>90,000,000.00</w:t>
      </w:r>
      <w:r>
        <w:rPr>
          <w:b w:val="off"/>
          <w:i w:val="off"/>
        </w:rPr>
        <w:t xml:space="preserve"> as varied by this Amendment Letter.</w:t>
      </w:r>
    </w:p>
    <w:p>
      <w:pPr>
        <w:pStyle w:val="DefinedTerm"/>
      </w:pPr>
      <w:r>
        <w:rPr>
          <w:b w:val="off"/>
          <w:i w:val="off"/>
        </w:rPr>
        <w:t>"Original Facility Agreement"</w:t>
      </w:r>
      <w:r>
        <w:rPr>
          <w:b w:val="off"/>
          <w:i w:val="off"/>
        </w:rPr>
        <w:t xml:space="preserve"> means the facility agreement dated </w:t>
      </w:r>
      <w:r>
        <w:rPr>
          <w:b w:val="off"/>
          <w:i w:val="off"/>
        </w:rPr>
        <w:t>2024-03-15</w:t>
      </w:r>
      <w:r>
        <w:rPr>
          <w:b w:val="off"/>
          <w:i w:val="off"/>
        </w:rPr>
        <w:t xml:space="preserve"> identified by reference </w:t>
      </w:r>
      <w:r>
        <w:rPr>
          <w:b w:val="off"/>
          <w:i w:val="off"/>
          <w:u w:val="single"/>
        </w:rPr>
        <w:t>CORP-FAC-2024-77102</w:t>
      </w:r>
      <w:r>
        <w:rPr>
          <w:b w:val="off"/>
          <w:i w:val="off"/>
        </w:rPr>
        <w:t>.</w:t>
      </w:r>
    </w:p>
    <w:p>
      <w:pPr>
        <w:pStyle w:val="DefinedTerm"/>
      </w:pPr>
      <w:r>
        <w:rPr>
          <w:b w:val="off"/>
          <w:i w:val="off"/>
        </w:rPr>
        <w:t>"Variation Schedule"</w:t>
      </w:r>
      <w:r>
        <w:rPr>
          <w:b w:val="off"/>
          <w:i w:val="off"/>
        </w:rPr>
        <w:t xml:space="preserve"> means Schedule 1 (Variation Particulars) to this Amendment Letter.</w:t>
      </w:r>
    </w:p>
    <w:p>
      <w:pPr>
        <w:sectPr>
          <w:type w:val="nextPage"/>
          <w:pgNumType w:start="1"/>
        </w:sectPr>
      </w:pPr>
    </w:p>
    <w:p>
      <w:pPr>
        <w:jc w:val="left"/>
      </w:pPr>
      <w:r>
        <w:rPr>
          <w:b w:val="on"/>
          <w:sz w:val="24"/>
        </w:rPr>
        <w:t>Existing Facility and Variations</w:t>
      </w:r>
    </w:p>
    <w:p>
      <w:pPr>
        <w:pStyle w:val="Heading2"/>
      </w:pPr>
      <w:r>
        <w:rPr>
          <w:b w:val="on"/>
          <w:i w:val="off"/>
        </w:rPr>
        <w:t xml:space="preserve">1 </w:t>
      </w:r>
      <w:r>
        <w:rPr>
          <w:b w:val="off"/>
          <w:i w:val="off"/>
        </w:rPr>
        <w:t>Existing Facility</w:t>
      </w:r>
    </w:p>
    <w:p>
      <w:pPr>
        <w:pStyle w:val="ClauseBody"/>
      </w:pPr>
      <w:r>
        <w:rPr>
          <w:b w:val="off"/>
          <w:i w:val="off"/>
        </w:rPr>
        <w:t xml:space="preserve">Under the Original Facility Agreement, the Bank made available to the Borrower a revolving credit facility with an original commitment of </w:t>
      </w:r>
      <w:r>
        <w:rPr>
          <w:b w:val="on"/>
          <w:i w:val="off"/>
        </w:rPr>
        <w:t>USD</w:t>
      </w:r>
      <w:r>
        <w:rPr>
          <w:b w:val="off"/>
          <w:i w:val="off"/>
        </w:rPr>
        <w:t xml:space="preserve"> </w:t>
      </w:r>
      <w:r>
        <w:rPr>
          <w:b w:val="on"/>
          <w:i w:val="off"/>
        </w:rPr>
        <w:t>75,000,000.00</w:t>
      </w:r>
      <w:r>
        <w:rPr>
          <w:b w:val="off"/>
          <w:i w:val="off"/>
        </w:rPr>
        <w:t xml:space="preserve">, margin of </w:t>
      </w:r>
      <w:r>
        <w:rPr>
          <w:b w:val="off"/>
          <w:i w:val="off"/>
        </w:rPr>
        <w:t>185</w:t>
      </w:r>
      <w:r>
        <w:rPr>
          <w:b w:val="off"/>
          <w:i w:val="off"/>
        </w:rPr>
        <w:t xml:space="preserve"> basis points, and final maturity on </w:t>
      </w:r>
      <w:r>
        <w:rPr>
          <w:b w:val="off"/>
          <w:i w:val="off"/>
        </w:rPr>
        <w:t>2027-03-15</w:t>
      </w:r>
      <w:r>
        <w:rPr>
          <w:b w:val="off"/>
          <w:i w:val="off"/>
        </w:rPr>
        <w:t>.</w:t>
      </w:r>
    </w:p>
    <w:p>
      <w:pPr>
        <w:pStyle w:val="ClauseBody"/>
      </w:pPr>
      <w:r>
        <w:rPr>
          <w:b w:val="off"/>
          <w:i w:val="off"/>
        </w:rPr>
        <w:t>The Borrower has requested, and the Bank has agreed (subject to the terms of this Amendment Letter), to increase the Commitment, reduce the Margin and extend the final maturity as set out in the Variation Schedule.</w:t>
      </w:r>
    </w:p>
    <w:p>
      <w:pPr>
        <w:pStyle w:val="Heading2"/>
      </w:pPr>
      <w:r>
        <w:rPr>
          <w:b w:val="on"/>
          <w:i w:val="off"/>
        </w:rPr>
        <w:t xml:space="preserve">1 </w:t>
      </w:r>
      <w:r>
        <w:rPr>
          <w:b w:val="off"/>
          <w:i w:val="off"/>
        </w:rPr>
        <w:t>Variation Terms</w:t>
      </w:r>
    </w:p>
    <w:p>
      <w:pPr>
        <w:pStyle w:val="ClauseBody"/>
      </w:pPr>
      <w:r>
        <w:rPr>
          <w:b w:val="off"/>
          <w:i w:val="off"/>
        </w:rPr>
        <w:t xml:space="preserve">With effect from the Amendment Effective Date: (a) the Commitment shall be increased from </w:t>
      </w:r>
      <w:r>
        <w:rPr>
          <w:b w:val="off"/>
          <w:i w:val="off"/>
        </w:rPr>
        <w:t>USD</w:t>
      </w:r>
      <w:r>
        <w:rPr>
          <w:b w:val="off"/>
          <w:i w:val="off"/>
        </w:rPr>
        <w:t xml:space="preserve"> </w:t>
      </w:r>
      <w:r>
        <w:rPr>
          <w:b w:val="off"/>
          <w:i w:val="off"/>
        </w:rPr>
        <w:t>75,000,000.00</w:t>
      </w:r>
      <w:r>
        <w:rPr>
          <w:b w:val="off"/>
          <w:i w:val="off"/>
        </w:rPr>
        <w:t xml:space="preserve"> to </w:t>
      </w:r>
      <w:r>
        <w:rPr>
          <w:b w:val="on"/>
          <w:i w:val="off"/>
        </w:rPr>
        <w:t>USD</w:t>
      </w:r>
      <w:r>
        <w:rPr>
          <w:b w:val="off"/>
          <w:i w:val="off"/>
        </w:rPr>
        <w:t xml:space="preserve"> </w:t>
      </w:r>
      <w:r>
        <w:rPr>
          <w:b w:val="on"/>
          <w:i w:val="off"/>
        </w:rPr>
        <w:t>90,000,000.00</w:t>
      </w:r>
      <w:r>
        <w:rPr>
          <w:b w:val="off"/>
          <w:i w:val="off"/>
        </w:rPr>
        <w:t xml:space="preserve">; (b) the Margin shall be reduced from </w:t>
      </w:r>
      <w:r>
        <w:rPr>
          <w:b w:val="off"/>
          <w:i w:val="off"/>
        </w:rPr>
        <w:t>185</w:t>
      </w:r>
      <w:r>
        <w:rPr>
          <w:b w:val="off"/>
          <w:i w:val="off"/>
        </w:rPr>
        <w:t xml:space="preserve"> bps to </w:t>
      </w:r>
      <w:r>
        <w:rPr>
          <w:b w:val="on"/>
          <w:i w:val="off"/>
        </w:rPr>
        <w:t>165</w:t>
      </w:r>
      <w:r>
        <w:rPr>
          <w:b w:val="off"/>
          <w:i w:val="off"/>
        </w:rPr>
        <w:t xml:space="preserve"> bps; and (c) the final maturity / expiry date shall be extended from </w:t>
      </w:r>
      <w:r>
        <w:rPr>
          <w:b w:val="off"/>
          <w:i w:val="off"/>
        </w:rPr>
        <w:t>2027-03-15</w:t>
      </w:r>
      <w:r>
        <w:rPr>
          <w:b w:val="off"/>
          <w:i w:val="off"/>
        </w:rPr>
        <w:t xml:space="preserve"> to </w:t>
      </w:r>
      <w:r>
        <w:rPr>
          <w:b w:val="on"/>
          <w:i w:val="off"/>
        </w:rPr>
        <w:t>2028-03-15</w:t>
      </w:r>
      <w:r>
        <w:rPr>
          <w:b w:val="off"/>
          <w:i w:val="off"/>
        </w:rPr>
        <w:t>.</w:t>
      </w:r>
    </w:p>
    <w:p>
      <w:pPr>
        <w:pStyle w:val="ClauseBody"/>
      </w:pPr>
      <w:r>
        <w:rPr>
          <w:b w:val="off"/>
          <w:i w:val="off"/>
        </w:rPr>
        <w:t xml:space="preserve">The Borrower shall pay an amendment fee of </w:t>
      </w:r>
      <w:r>
        <w:rPr>
          <w:b w:val="on"/>
          <w:i w:val="off"/>
        </w:rPr>
        <w:t>USD</w:t>
      </w:r>
      <w:r>
        <w:rPr>
          <w:b w:val="off"/>
          <w:i w:val="off"/>
        </w:rPr>
        <w:t xml:space="preserve"> </w:t>
      </w:r>
      <w:r>
        <w:rPr>
          <w:b w:val="on"/>
          <w:i w:val="off"/>
        </w:rPr>
        <w:t>90,000.00</w:t>
      </w:r>
      <w:r>
        <w:rPr>
          <w:b w:val="off"/>
          <w:i w:val="off"/>
        </w:rPr>
        <w:t xml:space="preserve"> to the Agent on the Amendment Effective Date.</w:t>
      </w:r>
    </w:p>
    <w:p>
      <w:pPr>
        <w:pStyle w:val="Heading2"/>
      </w:pPr>
      <w:r>
        <w:rPr>
          <w:b w:val="on"/>
          <w:i w:val="off"/>
        </w:rPr>
        <w:t xml:space="preserve">1 </w:t>
      </w:r>
      <w:r>
        <w:rPr>
          <w:b w:val="off"/>
          <w:i w:val="off"/>
        </w:rPr>
        <w:t>Operative Amendment</w:t>
      </w:r>
    </w:p>
    <w:p>
      <w:pPr>
        <w:pStyle w:val="BodyText"/>
      </w:pPr>
      <w:r>
        <w:rPr>
          <w:b w:val="off"/>
          <w:i w:val="off"/>
        </w:rPr>
        <w:t>Effectiveness: This Amendment Letter amends the Original Facility Agreement with effect from the Amendment Effective Date. Except as expressly varied herein, the Original Facility Agreement and the other Finance Documents remain in full force and effect and are ratified and confirmed.</w:t>
      </w:r>
    </w:p>
    <w:p>
      <w:pPr>
        <w:pStyle w:val="BodyText"/>
      </w:pPr>
      <w:r>
        <w:rPr>
          <w:b w:val="off"/>
          <w:i w:val="off"/>
        </w:rPr>
        <w:t>Finance Document status: This Amendment Letter constitutes a Finance Document. Capitalised terms used but not defined herein have the meanings given in the Original Facility Agreement.</w:t>
      </w:r>
    </w:p>
    <w:p>
      <w:pPr>
        <w:pStyle w:val="BodyText"/>
      </w:pPr>
      <w:r>
        <w:rPr>
          <w:b w:val="off"/>
          <w:i w:val="off"/>
        </w:rPr>
        <w:t>Conditions to effectiveness: The variations become effective only when the Agent has confirmed in writing that it has received the executed Amendment Letter, any required guarantor consent, updated know-your-customer materials and payment of the amendment fee.</w:t>
      </w:r>
    </w:p>
    <w:p>
      <w:pPr>
        <w:pStyle w:val="BodyText"/>
      </w:pPr>
      <w:r>
        <w:rPr>
          <w:b w:val="off"/>
          <w:i w:val="off"/>
        </w:rPr>
        <w:t>No novation: Nothing in this Amendment Letter constitutes a novation of the Original Facility Agreement or a release of any Security. Each Obligor reaffirms its obligations and each Guarantor confirms that its guarantee extends to the Facility as amended.</w:t>
      </w:r>
    </w:p>
    <w:p>
      <w:pPr>
        <w:pStyle w:val="BodyText"/>
      </w:pPr>
      <w:r>
        <w:rPr>
          <w:b w:val="off"/>
          <w:i w:val="off"/>
        </w:rPr>
        <w:t>Further assurance: Each Obligor shall, at its own expense, execute all documents and do all acts reasonably required by the Agent to give full effect to the variations contemplated by this letter.</w:t>
      </w:r>
    </w:p>
    <w:p>
      <w:pPr>
        <w:pStyle w:val="BodyText"/>
      </w:pPr>
      <w:r>
        <w:rPr>
          <w:b w:val="off"/>
          <w:i w:val="off"/>
        </w:rPr>
        <w:t>Chinese (摘要): 本修订函自修订生效日起修订原授信协议；除明示变更外，原协议及其他融资文件继续有效。本函构成融资文件，不构成债务更新，亦不解除任何担保。</w:t>
      </w:r>
    </w:p>
    <w:p>
      <w:pPr>
        <w:sectPr>
          <w:type w:val="nextPage"/>
          <w:pgNumType w:start="1"/>
        </w:sectPr>
      </w:pPr>
    </w:p>
    <w:p>
      <w:pPr>
        <w:jc w:val="left"/>
      </w:pPr>
      <w:r>
        <w:rPr>
          <w:b w:val="on"/>
          <w:sz w:val="24"/>
        </w:rPr>
        <w:t>Covenants and Schedule</w:t>
      </w:r>
    </w:p>
    <w:p>
      <w:pPr>
        <w:pStyle w:val="Heading2"/>
      </w:pPr>
      <w:r>
        <w:rPr>
          <w:b w:val="on"/>
          <w:i w:val="off"/>
        </w:rPr>
        <w:t xml:space="preserve">1 </w:t>
      </w:r>
      <w:r>
        <w:rPr>
          <w:b w:val="off"/>
          <w:i w:val="off"/>
        </w:rPr>
        <w:t>Continuing Covenants and Monitoring</w:t>
      </w:r>
    </w:p>
    <w:p>
      <w:pPr>
        <w:pStyle w:val="BodyText"/>
      </w:pPr>
      <w:r>
        <w:rPr>
          <w:b w:val="off"/>
          <w:i w:val="off"/>
        </w:rPr>
        <w:t>Continuing covenants: The Borrower shall continue to comply with all financial and general covenants under the Original Facility Agreement as amended, and shall deliver Compliance Certificates within thirty days of each Financial Quarter end.</w:t>
      </w:r>
    </w:p>
    <w:p>
      <w:pPr>
        <w:pStyle w:val="BodyText"/>
      </w:pPr>
      <w:r>
        <w:rPr>
          <w:b w:val="off"/>
          <w:i w:val="off"/>
        </w:rPr>
        <w:t>Information undertakings: The Borrower shall notify the Agent promptly of any Event of Default, any material litigation and any proposed change of control, and shall deliver audited annual financial statements within 120 days of each financial year end.</w:t>
      </w:r>
    </w:p>
    <w:p>
      <w:pPr>
        <w:pStyle w:val="BodyText"/>
      </w:pPr>
      <w:r>
        <w:rPr>
          <w:b w:val="off"/>
          <w:i w:val="off"/>
        </w:rPr>
        <w:t>Reservation of rights: No failure or delay by the Agent or any Lender in exercising any right under the Finance Documents shall operate as a waiver. Any waiver granted in connection with this Amendment Letter is limited to its express terms.</w:t>
      </w:r>
    </w:p>
    <w:p>
      <w:pPr>
        <w:pStyle w:val="BodyText"/>
      </w:pPr>
      <w:r>
        <w:rPr>
          <w:b w:val="off"/>
          <w:i w:val="off"/>
        </w:rPr>
        <w:t>Fees and costs: The Borrower shall pay the amendment fee specified in the Variation Schedule and shall reimburse the Agent for all reasonable legal and documentation costs incurred in connection with this Amendment Letter.</w:t>
      </w:r>
    </w:p>
    <w:p>
      <w:pPr>
        <w:pStyle w:val="Heading2"/>
      </w:pPr>
      <w:r>
        <w:rPr>
          <w:b w:val="on"/>
          <w:i w:val="off"/>
        </w:rPr>
        <w:t xml:space="preserve">1 </w:t>
      </w:r>
      <w:r>
        <w:rPr>
          <w:b w:val="off"/>
          <w:i w:val="off"/>
        </w:rPr>
        <w:t>Variation Schedule</w:t>
      </w:r>
    </w:p>
    <w:p>
      <w:pPr>
        <w:pStyle w:val="ScheduleTitle"/>
      </w:pPr>
      <w:r>
        <w:rPr>
          <w:b w:val="off"/>
          <w:i w:val="off"/>
        </w:rPr>
        <w:t>Schedule 1 — Variation Particulars</w:t>
      </w:r>
    </w:p>
    <w:p/>
    <w:p>
      <w:pPr>
        <w:pStyle w:val="ClauseBody"/>
      </w:pPr>
      <w:r>
        <w:rPr>
          <w:b w:val="off"/>
          <w:i w:val="off"/>
        </w:rPr>
        <w:t>The particulars in Schedule 1 prevail over any inconsistent narrative summary in this letter solely for the commercial terms listed therein.</w:t>
      </w:r>
    </w:p>
    <w:tbl>
      <w:tblPr>
        <w:tblW w:w="0" w:type="auto"/>
        <w:tblBorders>
          <w:top w:val="single"/>
          <w:left w:val="single"/>
          <w:bottom w:val="single"/>
          <w:right w:val="single"/>
          <w:insideH w:val="single"/>
          <w:insideV w:val="single"/>
        </w:tblBorders>
      </w:tblPr>
      <w:tr>
        <w:tc>
          <w:p>
            <w:pPr>
              <w:pStyle w:val="TableHeader"/>
            </w:pPr>
            <w:r>
              <w:rPr>
                <w:b w:val="on"/>
                <w:i w:val="off"/>
              </w:rPr>
              <w:t>Term</w:t>
            </w:r>
          </w:p>
        </w:tc>
        <w:tc>
          <w:p>
            <w:pPr>
              <w:pStyle w:val="TableHeader"/>
            </w:pPr>
            <w:r>
              <w:rPr>
                <w:b w:val="on"/>
                <w:i w:val="off"/>
              </w:rPr>
              <w:t>Before Amendment</w:t>
            </w:r>
          </w:p>
        </w:tc>
        <w:tc>
          <w:p>
            <w:pPr>
              <w:pStyle w:val="TableHeader"/>
            </w:pPr>
            <w:r>
              <w:rPr>
                <w:b w:val="on"/>
                <w:i w:val="off"/>
              </w:rPr>
              <w:t>After Amendment</w:t>
            </w:r>
          </w:p>
        </w:tc>
      </w:tr>
      <w:tr>
        <w:tc>
          <w:p>
            <w:r>
              <w:rPr>
                <w:b w:val="off"/>
                <w:i w:val="off"/>
              </w:rPr>
              <w:t>Commitment</w:t>
            </w:r>
          </w:p>
        </w:tc>
        <w:tc>
          <w:p>
            <w:r>
              <w:rPr>
                <w:b w:val="off"/>
                <w:i w:val="off"/>
              </w:rPr>
              <w:t>USD 75,000,000.00</w:t>
            </w:r>
          </w:p>
        </w:tc>
        <w:tc>
          <w:p>
            <w:r>
              <w:rPr>
                <w:b w:val="off"/>
                <w:i w:val="off"/>
              </w:rPr>
              <w:t>USD 90,000,000.00</w:t>
            </w:r>
          </w:p>
        </w:tc>
      </w:tr>
      <w:tr>
        <w:tc>
          <w:p>
            <w:r>
              <w:rPr>
                <w:b w:val="off"/>
                <w:i w:val="off"/>
              </w:rPr>
              <w:t>Margin</w:t>
            </w:r>
          </w:p>
        </w:tc>
        <w:tc>
          <w:p>
            <w:r>
              <w:rPr>
                <w:b w:val="off"/>
                <w:i w:val="off"/>
              </w:rPr>
              <w:t>185 bps</w:t>
            </w:r>
          </w:p>
        </w:tc>
        <w:tc>
          <w:p>
            <w:r>
              <w:rPr>
                <w:b w:val="off"/>
                <w:i w:val="off"/>
              </w:rPr>
              <w:t>165 bps</w:t>
            </w:r>
          </w:p>
        </w:tc>
      </w:tr>
      <w:tr>
        <w:tc>
          <w:p>
            <w:r>
              <w:rPr>
                <w:b w:val="off"/>
                <w:i w:val="off"/>
              </w:rPr>
              <w:t>Final Maturity / Expiry</w:t>
            </w:r>
          </w:p>
        </w:tc>
        <w:tc>
          <w:p>
            <w:r>
              <w:rPr>
                <w:b w:val="off"/>
                <w:i w:val="off"/>
              </w:rPr>
              <w:t>15 March 2027</w:t>
            </w:r>
          </w:p>
        </w:tc>
        <w:tc>
          <w:p>
            <w:r>
              <w:rPr>
                <w:b w:val="off"/>
                <w:i w:val="off"/>
              </w:rPr>
              <w:t>15 March 2028</w:t>
            </w:r>
          </w:p>
        </w:tc>
      </w:tr>
      <w:tr>
        <w:tc>
          <w:p>
            <w:r>
              <w:rPr>
                <w:b w:val="off"/>
                <w:i w:val="off"/>
              </w:rPr>
              <w:t>Amendment Fee</w:t>
            </w:r>
          </w:p>
        </w:tc>
        <w:tc>
          <w:p>
            <w:r>
              <w:rPr>
                <w:b w:val="off"/>
                <w:i w:val="off"/>
              </w:rPr>
              <w:t>N/A</w:t>
            </w:r>
          </w:p>
        </w:tc>
        <w:tc>
          <w:p>
            <w:r>
              <w:rPr>
                <w:b w:val="off"/>
                <w:i w:val="off"/>
              </w:rPr>
              <w:t>USD 90,000.00 (payable on Amendment Effective Date)</w:t>
            </w:r>
          </w:p>
        </w:tc>
      </w:tr>
    </w:tbl>
    <w:p>
      <w:pPr>
        <w:sectPr>
          <w:type w:val="nextPage"/>
          <w:pgNumType w:start="1"/>
        </w:sectPr>
      </w:pPr>
    </w:p>
    <w:p>
      <w:pPr>
        <w:jc w:val="left"/>
      </w:pPr>
      <w:r>
        <w:rPr>
          <w:b w:val="on"/>
          <w:sz w:val="24"/>
        </w:rPr>
        <w:t>Closing Provisions</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Nothing in this clause limits the right of the Bank to take proceedings in any other court of competent jurisdiction.</w:t>
      </w:r>
    </w:p>
    <w:p>
      <w:pPr>
        <w:pStyle w:val="Heading2"/>
      </w:pPr>
      <w:r>
        <w:rPr>
          <w:b w:val="on"/>
          <w:i w:val="off"/>
        </w:rPr>
        <w:t xml:space="preserve">1 </w:t>
      </w:r>
      <w:r>
        <w:rPr>
          <w:b w:val="off"/>
          <w:i w:val="off"/>
        </w:rPr>
        <w:t>Authorised Signatory</w:t>
      </w:r>
    </w:p>
    <w:p>
      <w:pPr>
        <w:pStyle w:val="ClauseBody"/>
      </w:pPr>
      <w:r>
        <w:rPr>
          <w:b w:val="off"/>
          <w:i w:val="off"/>
        </w:rPr>
        <w:t>Please acknowledge receipt of this letter by countersigning and returning an executed copy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w:t>
      </w:r>
    </w:p>
    <w:p>
      <w:pPr>
        <w:pStyle w:val="SignatureBlock"/>
      </w:pPr>
      <w:r>
        <w:rPr>
          <w:b w:val="off"/>
          <w:i w:val="off"/>
        </w:rPr>
        <w:t>_____________________________</w:t>
      </w:r>
    </w:p>
    <w:p>
      <w:pPr>
        <w:pStyle w:val="SignatureBlock"/>
      </w:pPr>
      <w:r>
        <w:rPr>
          <w:b w:val="on"/>
          <w:i w:val="off"/>
        </w:rPr>
        <w:t>Catherine M. Ellison</w:t>
      </w:r>
    </w:p>
    <w:p>
      <w:pPr>
        <w:pStyle w:val="SignatureBlock"/>
      </w:pPr>
      <w:r>
        <w:rPr>
          <w:b w:val="off"/>
          <w:i w:val="off"/>
        </w:rPr>
        <w:t>Managing Director, Corporate Credit — Wholesale Banking</w:t>
      </w:r>
    </w:p>
    <w:p>
      <w:pPr>
        <w:pStyle w:val="SignatureBlock"/>
      </w:pPr>
      <w:r>
        <w:rPr>
          <w:b w:val="off"/>
          <w:i w:val="off"/>
        </w:rPr>
        <w:t>25 Lombard Street, London EC3V 9AA,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2026-07-20T11:01:03Z</dcterms:created>
  <dc:creator>Apache POI</dc:creator>
</cp:coreProperties>
</file>