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Customer Due Diligence Information Request</w:t>
      </w:r>
    </w:p>
    <w:p>
      <w:pPr>
        <w:jc w:val="left"/>
      </w:pPr>
      <w:r>
        <w:rPr>
          <w:b w:val="on"/>
          <w:sz w:val="24"/>
        </w:rPr>
        <w:t>Parties</w:t>
      </w:r>
    </w:p>
    <w:p>
      <w:pPr>
        <w:pStyle w:val="ClauseBody"/>
      </w:pPr>
      <w:r>
        <w:rPr>
          <w:b w:val="off"/>
          <w:i w:val="off"/>
        </w:rPr>
        <w:t xml:space="preserve">Date: </w:t>
      </w:r>
      <w:r>
        <w:rPr>
          <w:b w:val="off"/>
          <w:i w:val="off"/>
        </w:rPr>
        <w:t>2026-07-20</w:t>
      </w:r>
    </w:p>
    <w:p>
      <w:pPr>
        <w:pStyle w:val="ClauseBody"/>
      </w:pPr>
      <w:r>
        <w:rPr>
          <w:b w:val="off"/>
          <w:i w:val="off"/>
        </w:rPr>
        <w:t xml:space="preserve">To: </w:t>
      </w:r>
      <w:r>
        <w:rPr>
          <w:b w:val="on"/>
          <w:i w:val="off"/>
        </w:rPr>
        <w:t>Helen Cartwright</w:t>
      </w:r>
    </w:p>
    <w:p>
      <w:pPr>
        <w:pStyle w:val="ClauseBody"/>
      </w:pPr>
      <w:r>
        <w:rPr>
          <w:b w:val="off"/>
          <w:i w:val="off"/>
        </w:rPr>
        <w:t>14 Maple Grove, Bristol BS8 2QR</w:t>
      </w:r>
    </w:p>
    <w:p>
      <w:pPr>
        <w:pStyle w:val="ClauseBody"/>
      </w:pPr>
      <w:r>
        <w:rPr>
          <w:b w:val="off"/>
          <w:i w:val="off"/>
        </w:rPr>
        <w:t xml:space="preserve">Dear </w:t>
      </w:r>
      <w:r>
        <w:rPr>
          <w:b w:val="off"/>
          <w:i w:val="off"/>
        </w:rPr>
        <w:t>Helen Cartwright</w:t>
      </w:r>
      <w:r>
        <w:rPr>
          <w:b w:val="off"/>
          <w:i w:val="off"/>
        </w:rPr>
        <w:t>,</w:t>
      </w:r>
    </w:p>
    <w:p>
      <w:pPr>
        <w:pStyle w:val="ClauseBody"/>
      </w:pPr>
      <w:r>
        <w:rPr>
          <w:b w:val="off"/>
          <w:i w:val="off"/>
        </w:rPr>
        <w:t xml:space="preserve">Re: Customer Due Diligence Information Request — Case </w:t>
      </w:r>
      <w:r>
        <w:rPr>
          <w:b w:val="off"/>
          <w:i w:val="off"/>
          <w:u w:val="single"/>
        </w:rPr>
        <w:t>CDD-2026-77841</w:t>
      </w:r>
      <w:r>
        <w:rPr>
          <w:b w:val="off"/>
          <w:i w:val="off"/>
        </w:rPr>
        <w:t xml:space="preserve"> / Customer Reference </w:t>
      </w:r>
      <w:r>
        <w:rPr>
          <w:b w:val="off"/>
          <w:i w:val="off"/>
          <w:u w:val="single"/>
        </w:rPr>
        <w:t>RET-CIF-88421903</w:t>
      </w:r>
    </w:p>
    <w:p>
      <w:pPr>
        <w:pStyle w:val="ClauseBody"/>
      </w:pPr>
      <w:r>
        <w:rPr>
          <w:b w:val="off"/>
          <w:i w:val="off"/>
        </w:rPr>
        <w:t xml:space="preserve">We, </w:t>
      </w:r>
      <w:r>
        <w:rPr>
          <w:b w:val="on"/>
          <w:i w:val="off"/>
        </w:rPr>
        <w:t>Meridian Retail Banking</w:t>
      </w:r>
      <w:r>
        <w:rPr>
          <w:b w:val="off"/>
          <w:i w:val="off"/>
        </w:rPr>
        <w:t xml:space="preserve"> of </w:t>
      </w:r>
      <w:r>
        <w:rPr>
          <w:b w:val="off"/>
          <w:i w:val="off"/>
        </w:rPr>
        <w:t>1 Churchill Place, London E14 5HP, United Kingdom</w:t>
      </w:r>
      <w:r>
        <w:rPr>
          <w:b w:val="off"/>
          <w:i w:val="off"/>
        </w:rPr>
        <w:t xml:space="preserve"> (the Bank), write regarding your account ending </w:t>
      </w:r>
      <w:r>
        <w:rPr>
          <w:b w:val="on"/>
          <w:i w:val="off"/>
        </w:rPr>
        <w:t>****4721</w:t>
      </w:r>
      <w:r>
        <w:rPr>
          <w:b w:val="off"/>
          <w:i w:val="off"/>
        </w:rPr>
        <w:t>.</w:t>
      </w:r>
    </w:p>
    <w:p>
      <w:pPr>
        <w:sectPr>
          <w:type w:val="nextPage"/>
          <w:pgNumType w:start="1"/>
        </w:sectPr>
      </w:pPr>
    </w:p>
    <w:p>
      <w:pPr>
        <w:jc w:val="left"/>
      </w:pPr>
      <w:r>
        <w:rPr>
          <w:b w:val="on"/>
          <w:sz w:val="24"/>
        </w:rPr>
        <w:t>Purpose and Definitions</w:t>
      </w:r>
    </w:p>
    <w:p>
      <w:pPr>
        <w:pStyle w:val="Heading2"/>
      </w:pPr>
      <w:r>
        <w:rPr>
          <w:b w:val="on"/>
          <w:i w:val="off"/>
        </w:rPr>
        <w:t xml:space="preserve">1 </w:t>
      </w:r>
      <w:r>
        <w:rPr>
          <w:b w:val="off"/>
          <w:i w:val="off"/>
        </w:rPr>
        <w:t>Purpose of this Notice</w:t>
      </w:r>
    </w:p>
    <w:p>
      <w:pPr>
        <w:pStyle w:val="BodyText"/>
      </w:pPr>
      <w:r>
        <w:rPr>
          <w:b w:val="off"/>
          <w:i w:val="off"/>
        </w:rPr>
        <w:t>Purpose: Meridian Retail Banking is required under the Money Laundering, Terrorist Financing and Transfer of Funds (Information on the Payer) Regulations 2017 and related FCA requirements to keep customer due diligence information up to date. This notice requests updated identification and verification materials for your accounts.</w:t>
      </w:r>
    </w:p>
    <w:p>
      <w:pPr>
        <w:pStyle w:val="BodyText"/>
      </w:pPr>
      <w:r>
        <w:rPr>
          <w:b w:val="off"/>
          <w:i w:val="off"/>
        </w:rPr>
        <w:t>Scope: The request covers identity verification, residential address confirmation, source of funds / source of wealth information where applicable, and beneficial ownership details for any joint or business-linked relationship held with Meridian Retail Banking.</w:t>
      </w:r>
    </w:p>
    <w:p>
      <w:pPr>
        <w:pStyle w:val="BodyText"/>
      </w:pPr>
      <w:r>
        <w:rPr>
          <w:b w:val="off"/>
          <w:i w:val="off"/>
        </w:rPr>
        <w:t>Data protection: Personal data supplied in response to this notice will be processed in accordance with Meridian Retail Banking's privacy notice and applicable data protection law, solely for customer due diligence, fraud prevention and regulatory compliance purposes.</w:t>
      </w:r>
    </w:p>
    <w:p>
      <w:pPr>
        <w:pStyle w:val="BodyText"/>
      </w:pPr>
      <w:r>
        <w:rPr>
          <w:b w:val="off"/>
          <w:i w:val="off"/>
        </w:rPr>
        <w:t>This is a regulatory correspondence notice and is not a marketing communication.</w:t>
      </w:r>
    </w:p>
    <w:p>
      <w:pPr>
        <w:pStyle w:val="Heading2"/>
      </w:pPr>
      <w:r>
        <w:rPr>
          <w:b w:val="on"/>
          <w:i w:val="off"/>
        </w:rPr>
        <w:t xml:space="preserve">1 </w:t>
      </w:r>
      <w:r>
        <w:rPr>
          <w:b w:val="off"/>
          <w:i w:val="off"/>
        </w:rPr>
        <w:t>Defined Terms</w:t>
      </w:r>
    </w:p>
    <w:p>
      <w:pPr>
        <w:pStyle w:val="DefinedTerm"/>
      </w:pPr>
      <w:r>
        <w:rPr>
          <w:b w:val="off"/>
          <w:i w:val="off"/>
        </w:rPr>
        <w:t>"Response Deadline"</w:t>
      </w:r>
      <w:r>
        <w:rPr>
          <w:b w:val="off"/>
          <w:i w:val="off"/>
        </w:rPr>
        <w:t xml:space="preserve"> means </w:t>
      </w:r>
      <w:r>
        <w:rPr>
          <w:b w:val="off"/>
          <w:i w:val="off"/>
        </w:rPr>
        <w:t>2026-08-20</w:t>
      </w:r>
      <w:r>
        <w:rPr>
          <w:b w:val="off"/>
          <w:i w:val="off"/>
        </w:rPr>
        <w:t>.</w:t>
      </w:r>
    </w:p>
    <w:p>
      <w:pPr>
        <w:pStyle w:val="DefinedTerm"/>
      </w:pPr>
      <w:r>
        <w:rPr>
          <w:b w:val="off"/>
          <w:i w:val="off"/>
        </w:rPr>
        <w:t>"Case Reference"</w:t>
      </w:r>
      <w:r>
        <w:rPr>
          <w:b w:val="off"/>
          <w:i w:val="off"/>
        </w:rPr>
        <w:t xml:space="preserve"> means </w:t>
      </w:r>
      <w:r>
        <w:rPr>
          <w:b w:val="off"/>
          <w:i w:val="off"/>
          <w:u w:val="single"/>
        </w:rPr>
        <w:t>CDD-2026-77841</w:t>
      </w:r>
      <w:r>
        <w:rPr>
          <w:b w:val="off"/>
          <w:i w:val="off"/>
        </w:rPr>
        <w:t>, the Bank's reference for this due diligence review.</w:t>
      </w:r>
    </w:p>
    <w:p>
      <w:pPr>
        <w:pStyle w:val="DefinedTerm"/>
      </w:pPr>
      <w:r>
        <w:rPr>
          <w:b w:val="off"/>
          <w:i w:val="off"/>
        </w:rPr>
        <w:t>"Customer Due Diligence"</w:t>
      </w:r>
      <w:r>
        <w:rPr>
          <w:b w:val="off"/>
          <w:i w:val="off"/>
        </w:rPr>
        <w:t xml:space="preserve"> means the identification, verification and ongoing monitoring measures required under applicable anti-money-laundering laws and FCA rules.</w:t>
      </w:r>
    </w:p>
    <w:p>
      <w:pPr>
        <w:sectPr>
          <w:type w:val="nextPage"/>
          <w:pgNumType w:start="1"/>
        </w:sectPr>
      </w:pPr>
    </w:p>
    <w:p>
      <w:pPr>
        <w:jc w:val="left"/>
      </w:pPr>
      <w:r>
        <w:rPr>
          <w:b w:val="on"/>
          <w:sz w:val="24"/>
        </w:rPr>
        <w:t>Request and Checklist</w:t>
      </w:r>
    </w:p>
    <w:p>
      <w:pPr>
        <w:pStyle w:val="Heading2"/>
      </w:pPr>
      <w:r>
        <w:rPr>
          <w:b w:val="on"/>
          <w:i w:val="off"/>
        </w:rPr>
        <w:t xml:space="preserve">1 </w:t>
      </w:r>
      <w:r>
        <w:rPr>
          <w:b w:val="off"/>
          <w:i w:val="off"/>
        </w:rPr>
        <w:t>Information Request</w:t>
      </w:r>
    </w:p>
    <w:p>
      <w:pPr>
        <w:pStyle w:val="ClauseBody"/>
      </w:pPr>
      <w:r>
        <w:rPr>
          <w:b w:val="off"/>
          <w:i w:val="off"/>
        </w:rPr>
        <w:t xml:space="preserve">Please provide the documents and information listed in the Document Checklist no later than the Response Deadline of </w:t>
      </w:r>
      <w:r>
        <w:rPr>
          <w:b w:val="on"/>
          <w:i w:val="off"/>
        </w:rPr>
        <w:t>2026-08-20</w:t>
      </w:r>
      <w:r>
        <w:rPr>
          <w:b w:val="off"/>
          <w:i w:val="off"/>
        </w:rPr>
        <w:t>. Materials may be uploaded through secure banking channels or delivered to the address stated below, quoting the Case Reference on all correspondence.</w:t>
      </w:r>
    </w:p>
    <w:p>
      <w:pPr>
        <w:pStyle w:val="ClauseBody"/>
      </w:pPr>
      <w:r>
        <w:rPr>
          <w:b w:val="off"/>
          <w:i w:val="off"/>
        </w:rPr>
        <w:t>Please ensure copies are clear, complete and unaltered. The Bank may request certified copies or original inspection where risk assessment so requires.</w:t>
      </w:r>
    </w:p>
    <w:p>
      <w:pPr>
        <w:pStyle w:val="Heading2"/>
      </w:pPr>
      <w:r>
        <w:rPr>
          <w:b w:val="on"/>
          <w:i w:val="off"/>
        </w:rPr>
        <w:t xml:space="preserve">1 </w:t>
      </w:r>
      <w:r>
        <w:rPr>
          <w:b w:val="off"/>
          <w:i w:val="off"/>
        </w:rPr>
        <w:t>Document Checklist</w:t>
      </w:r>
    </w:p>
    <w:p>
      <w:pPr>
        <w:pStyle w:val="ScheduleTitle"/>
      </w:pPr>
      <w:r>
        <w:rPr>
          <w:b w:val="off"/>
          <w:i w:val="off"/>
        </w:rPr>
        <w:t>Schedule 1 — Information and Documents Required</w:t>
      </w:r>
    </w:p>
    <w:p/>
    <w:tbl>
      <w:tblPr>
        <w:tblW w:w="0" w:type="auto"/>
        <w:tblBorders>
          <w:top w:val="single"/>
          <w:left w:val="single"/>
          <w:bottom w:val="single"/>
          <w:right w:val="single"/>
          <w:insideH w:val="single"/>
          <w:insideV w:val="single"/>
        </w:tblBorders>
      </w:tblPr>
      <w:tr>
        <w:tc>
          <w:p>
            <w:pPr>
              <w:pStyle w:val="TableHeader"/>
            </w:pPr>
            <w:r>
              <w:rPr>
                <w:b w:val="on"/>
                <w:i w:val="off"/>
              </w:rPr>
              <w:t>Item</w:t>
            </w:r>
          </w:p>
        </w:tc>
        <w:tc>
          <w:p>
            <w:pPr>
              <w:pStyle w:val="TableHeader"/>
            </w:pPr>
            <w:r>
              <w:rPr>
                <w:b w:val="on"/>
                <w:i w:val="off"/>
              </w:rPr>
              <w:t>Document / Information</w:t>
            </w:r>
          </w:p>
        </w:tc>
      </w:tr>
      <w:tr>
        <w:tc>
          <w:p>
            <w:r>
              <w:rPr>
                <w:b w:val="off"/>
                <w:i w:val="off"/>
              </w:rPr>
              <w:t>1</w:t>
            </w:r>
          </w:p>
        </w:tc>
        <w:tc>
          <w:p>
            <w:r>
              <w:rPr>
                <w:b w:val="off"/>
                <w:i w:val="off"/>
              </w:rPr>
              <w:t>Current photographic identity document (passport or driving licence)</w:t>
            </w:r>
          </w:p>
        </w:tc>
      </w:tr>
      <w:tr>
        <w:tc>
          <w:p>
            <w:r>
              <w:rPr>
                <w:b w:val="off"/>
                <w:i w:val="off"/>
              </w:rPr>
              <w:t>2</w:t>
            </w:r>
          </w:p>
        </w:tc>
        <w:tc>
          <w:p>
            <w:r>
              <w:rPr>
                <w:b w:val="off"/>
                <w:i w:val="off"/>
              </w:rPr>
              <w:t>Proof of residential address dated within the last three months</w:t>
            </w:r>
          </w:p>
        </w:tc>
      </w:tr>
      <w:tr>
        <w:tc>
          <w:p>
            <w:r>
              <w:rPr>
                <w:b w:val="off"/>
                <w:i w:val="off"/>
              </w:rPr>
              <w:t>3</w:t>
            </w:r>
          </w:p>
        </w:tc>
        <w:tc>
          <w:p>
            <w:r>
              <w:rPr>
                <w:b w:val="off"/>
                <w:i w:val="off"/>
              </w:rPr>
              <w:t>Source of funds declaration for recent high-value credits</w:t>
            </w:r>
          </w:p>
        </w:tc>
      </w:tr>
      <w:tr>
        <w:tc>
          <w:p>
            <w:r>
              <w:rPr>
                <w:b w:val="off"/>
                <w:i w:val="off"/>
              </w:rPr>
              <w:t>4</w:t>
            </w:r>
          </w:p>
        </w:tc>
        <w:tc>
          <w:p>
            <w:r>
              <w:rPr>
                <w:b w:val="off"/>
                <w:i w:val="off"/>
              </w:rPr>
              <w:t>Updated employment / occupation details</w:t>
            </w:r>
          </w:p>
        </w:tc>
      </w:tr>
    </w:tbl>
    <w:p>
      <w:pPr>
        <w:sectPr>
          <w:type w:val="nextPage"/>
          <w:pgNumType w:start="1"/>
        </w:sectPr>
      </w:pPr>
    </w:p>
    <w:p>
      <w:pPr>
        <w:jc w:val="left"/>
      </w:pPr>
      <w:r>
        <w:rPr>
          <w:b w:val="on"/>
          <w:sz w:val="24"/>
        </w:rPr>
        <w:t>Consequences and Closing</w:t>
      </w:r>
    </w:p>
    <w:p>
      <w:pPr>
        <w:pStyle w:val="Heading2"/>
      </w:pPr>
      <w:r>
        <w:rPr>
          <w:b w:val="on"/>
          <w:i w:val="off"/>
        </w:rPr>
        <w:t xml:space="preserve">1 </w:t>
      </w:r>
      <w:r>
        <w:rPr>
          <w:b w:val="off"/>
          <w:i w:val="off"/>
        </w:rPr>
        <w:t>Consequences and Timeline</w:t>
      </w:r>
    </w:p>
    <w:p>
      <w:pPr>
        <w:pStyle w:val="BodyText"/>
      </w:pPr>
      <w:r>
        <w:rPr>
          <w:b w:val="off"/>
          <w:i w:val="off"/>
        </w:rPr>
        <w:t>Response timeline: Please provide the requested information and documents no later than the Response Deadline stated in this notice. If you have already supplied equivalent materials within the preceding three months, please advise us in writing and we will confirm whether a further submission is required.</w:t>
      </w:r>
    </w:p>
    <w:p>
      <w:pPr>
        <w:pStyle w:val="BodyText"/>
      </w:pPr>
      <w:r>
        <w:rPr>
          <w:b w:val="off"/>
          <w:i w:val="off"/>
        </w:rPr>
        <w:t>Consequences of non-response: If satisfactory due diligence materials are not received by the Response Deadline, Meridian Retail Banking may be required to restrict account functionality, decline certain payment instructions, or in appropriate cases terminate the banking relationship, in each case in accordance with applicable law and the account terms and conditions.</w:t>
      </w:r>
    </w:p>
    <w:p>
      <w:pPr>
        <w:pStyle w:val="BodyText"/>
      </w:pPr>
      <w:r>
        <w:rPr>
          <w:b w:val="off"/>
          <w:i w:val="off"/>
        </w:rPr>
        <w:t>Assistance: If you are unable to provide any item on the checklist, contact the Financial Crime Compliance team using the contact details in this letter before the Response Deadline so that alternative verification routes can be considered where permitted.</w:t>
      </w:r>
    </w:p>
    <w:p>
      <w:pPr>
        <w:pStyle w:val="BodyText"/>
      </w:pPr>
      <w:r>
        <w:rPr>
          <w:b w:val="off"/>
          <w:i w:val="off"/>
        </w:rPr>
        <w:t>Complaints: If you are dissatisfied with how this request has been handled, you may raise a complaint under Meridian Retail Banking's complaints procedure. You may also refer the matter to the Financial Ombudsman Service where eligible.</w:t>
      </w:r>
    </w:p>
    <w:p>
      <w:pPr>
        <w:pStyle w:val="Heading2"/>
      </w:pPr>
      <w:r>
        <w:rPr>
          <w:b w:val="on"/>
          <w:i w:val="off"/>
        </w:rPr>
        <w:t xml:space="preserve">1 </w:t>
      </w:r>
      <w:r>
        <w:rPr>
          <w:b w:val="off"/>
          <w:i w:val="off"/>
        </w:rPr>
        <w:t>Governing Law and Jurisdiction</w:t>
      </w:r>
    </w:p>
    <w:p>
      <w:pPr>
        <w:pStyle w:val="ClauseBody"/>
      </w:pPr>
      <w:r>
        <w:rPr>
          <w:b w:val="off"/>
          <w:i w:val="off"/>
        </w:rPr>
        <w:t xml:space="preserve">This letter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letter. Nothing in this clause limits the right of the Bank to take proceedings in any other court of competent jurisdiction.</w:t>
      </w:r>
    </w:p>
    <w:p>
      <w:pPr>
        <w:pStyle w:val="Heading2"/>
      </w:pPr>
      <w:r>
        <w:rPr>
          <w:b w:val="on"/>
          <w:i w:val="off"/>
        </w:rPr>
        <w:t xml:space="preserve">1 </w:t>
      </w:r>
      <w:r>
        <w:rPr>
          <w:b w:val="off"/>
          <w:i w:val="off"/>
        </w:rPr>
        <w:t>Authorised Signatory</w:t>
      </w:r>
    </w:p>
    <w:p>
      <w:pPr>
        <w:pStyle w:val="ClauseBody"/>
      </w:pPr>
      <w:r>
        <w:rPr>
          <w:b w:val="off"/>
          <w:i w:val="off"/>
        </w:rPr>
        <w:t>Please acknowledge receipt of this letter by countersigning and returning an executed copy within ten Business Days of the date of this letter.</w:t>
      </w:r>
    </w:p>
    <w:p>
      <w:pPr>
        <w:pStyle w:val="SignatureBlock"/>
      </w:pPr>
      <w:r>
        <w:rPr>
          <w:b w:val="off"/>
          <w:i w:val="off"/>
        </w:rPr>
        <w:t>Yours faithfully,</w:t>
      </w:r>
    </w:p>
    <w:p>
      <w:pPr>
        <w:pStyle w:val="SignatureBlock"/>
      </w:pPr>
      <w:r>
        <w:rPr>
          <w:b w:val="off"/>
          <w:i w:val="off"/>
        </w:rPr>
        <w:t xml:space="preserve">For and on behalf of </w:t>
      </w:r>
      <w:r>
        <w:rPr>
          <w:b w:val="on"/>
          <w:i w:val="off"/>
        </w:rPr>
        <w:t>Meridian Retail Banking</w:t>
      </w:r>
    </w:p>
    <w:p>
      <w:pPr>
        <w:pStyle w:val="SignatureBlock"/>
      </w:pPr>
      <w:r>
        <w:rPr>
          <w:b w:val="off"/>
          <w:i w:val="off"/>
        </w:rPr>
        <w:t>_____________________________</w:t>
      </w:r>
    </w:p>
    <w:p>
      <w:pPr>
        <w:pStyle w:val="SignatureBlock"/>
      </w:pPr>
      <w:r>
        <w:rPr>
          <w:b w:val="on"/>
          <w:i w:val="off"/>
        </w:rPr>
        <w:t>Priya Natarajan</w:t>
      </w:r>
    </w:p>
    <w:p>
      <w:pPr>
        <w:pStyle w:val="SignatureBlock"/>
      </w:pPr>
      <w:r>
        <w:rPr>
          <w:b w:val="off"/>
          <w:i w:val="off"/>
        </w:rPr>
        <w:t>Head of Customer Due Diligence — Financial Crime Compliance</w:t>
      </w:r>
    </w:p>
    <w:p>
      <w:pPr>
        <w:pStyle w:val="SignatureBlock"/>
      </w:pPr>
      <w:r>
        <w:rPr>
          <w:b w:val="off"/>
          <w:i w:val="off"/>
        </w:rPr>
        <w:t>1 Churchill Place, London E14 5HP,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1 Churchill Place, London E14 5HP  |  Meridian Retail Banking  |  FCA regulated</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Retail Banking — Financial Crime Compliance</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2026-07-20T11:01:06Z</dcterms:created>
  <dc:creator>Apache POI</dc:creator>
</cp:coreProperties>
</file>