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28"/>
          <w:color w:val="006633"/>
        </w:rPr>
        <w:t>Account Balance Confirmation</w:t>
      </w:r>
    </w:p>
    <w:p>
      <w:pPr>
        <w:pStyle w:val="ClauseBody"/>
      </w:pPr>
      <w:r>
        <w:rPr>
          <w:b w:val="off"/>
          <w:i w:val="off"/>
        </w:rPr>
        <w:t xml:space="preserve">Date: </w:t>
      </w:r>
      <w:r>
        <w:rPr>
          <w:b w:val="off"/>
          <w:i w:val="off"/>
        </w:rPr>
        <w:t>2026-07-06</w:t>
      </w:r>
    </w:p>
    <w:p>
      <w:pPr>
        <w:pStyle w:val="ClauseBody"/>
      </w:pPr>
      <w:r>
        <w:rPr>
          <w:b w:val="off"/>
          <w:i w:val="off"/>
        </w:rPr>
        <w:t xml:space="preserve">Our ref: </w:t>
      </w:r>
      <w:r>
        <w:rPr>
          <w:b w:val="off"/>
          <w:i w:val="off"/>
        </w:rPr>
        <w:t>MRB-RAB-2026-005291</w:t>
      </w:r>
    </w:p>
    <w:p>
      <w:pPr>
        <w:pStyle w:val="ClauseBody"/>
      </w:pPr>
      <w:r>
        <w:rPr>
          <w:b w:val="off"/>
          <w:i w:val="off"/>
        </w:rPr>
        <w:t xml:space="preserve">To: </w:t>
      </w:r>
      <w:r>
        <w:rPr>
          <w:b w:val="on"/>
          <w:i w:val="off"/>
        </w:rPr>
        <w:t>Mr James Porter</w:t>
      </w:r>
    </w:p>
    <w:p>
      <w:pPr>
        <w:pStyle w:val="ClauseBody"/>
      </w:pPr>
      <w:r>
        <w:rPr>
          <w:b w:val="off"/>
          <w:i w:val="off"/>
        </w:rPr>
        <w:t>22 Hollybush Lane, Leeds LS16 7QF</w:t>
      </w:r>
    </w:p>
    <w:p>
      <w:pPr>
        <w:pStyle w:val="ClauseBody"/>
      </w:pPr>
      <w:r>
        <w:rPr>
          <w:b w:val="off"/>
          <w:i w:val="off"/>
        </w:rPr>
        <w:t>Dear Customer,</w:t>
      </w:r>
    </w:p>
    <w:p>
      <w:pPr>
        <w:pStyle w:val="ClauseBody"/>
      </w:pPr>
      <w:r>
        <w:rPr>
          <w:b w:val="off"/>
          <w:i w:val="off"/>
        </w:rPr>
        <w:t xml:space="preserve">Re: Account Balance Confirmation — </w:t>
      </w:r>
      <w:r>
        <w:rPr>
          <w:b w:val="off"/>
          <w:i w:val="off"/>
          <w:u w:val="single"/>
        </w:rPr>
        <w:t>GB82 MERI 4047 5312 8741 63</w:t>
      </w:r>
    </w:p>
    <w:p>
      <w:pPr>
        <w:pStyle w:val="ClauseBody"/>
      </w:pPr>
      <w:r>
        <w:rPr>
          <w:b w:val="off"/>
          <w:i w:val="off"/>
        </w:rPr>
        <w:t xml:space="preserve">Branch: </w:t>
      </w:r>
      <w:r>
        <w:rPr>
          <w:b w:val="off"/>
          <w:i w:val="off"/>
        </w:rPr>
        <w:t>Leeds Headingley</w:t>
      </w:r>
      <w:r>
        <w:rPr>
          <w:b w:val="off"/>
          <w:i w:val="off"/>
        </w:rPr>
        <w:t xml:space="preserve"> | </w:t>
      </w:r>
      <w:r>
        <w:rPr>
          <w:b w:val="off"/>
          <w:i w:val="off"/>
        </w:rPr>
        <w:t>Meridian Retail Banking</w:t>
      </w:r>
      <w:r>
        <w:rPr>
          <w:b w:val="off"/>
          <w:i w:val="off"/>
        </w:rPr>
        <w:t xml:space="preserve"> (FCA </w:t>
      </w:r>
      <w:r>
        <w:rPr>
          <w:b w:val="off"/>
          <w:i w:val="off"/>
        </w:rPr>
        <w:t>123456</w:t>
      </w:r>
      <w:r>
        <w:rPr>
          <w:b w:val="off"/>
          <w:i w:val="off"/>
        </w:rPr>
        <w:t>)</w:t>
      </w:r>
    </w:p>
    <w:p>
      <w:pPr>
        <w:sectPr>
          <w:type w:val="nextPage"/>
        </w:sectPr>
      </w:pPr>
    </w:p>
    <w:p>
      <w:pPr>
        <w:jc w:val="left"/>
      </w:pPr>
      <w:r>
        <w:rPr>
          <w:b w:val="on"/>
          <w:sz w:val="24"/>
        </w:rPr>
        <w:t>Balance Confirmation</w:t>
      </w:r>
    </w:p>
    <w:p>
      <w:pPr>
        <w:pStyle w:val="Heading2"/>
      </w:pPr>
      <w:r>
        <w:rPr>
          <w:b w:val="on"/>
          <w:i w:val="off"/>
        </w:rPr>
        <w:t xml:space="preserve">1 </w:t>
      </w:r>
      <w:r>
        <w:rPr>
          <w:b w:val="off"/>
          <w:i w:val="off"/>
        </w:rPr>
        <w:t>Balance Confirmation</w:t>
      </w:r>
    </w:p>
    <w:p>
      <w:pPr>
        <w:pStyle w:val="ClauseBody"/>
      </w:pPr>
      <w:r>
        <w:rPr>
          <w:b w:val="off"/>
          <w:i w:val="off"/>
        </w:rPr>
        <w:t xml:space="preserve">We confirm that your </w:t>
      </w:r>
      <w:r>
        <w:rPr>
          <w:b w:val="off"/>
          <w:i w:val="off"/>
        </w:rPr>
        <w:t>Meridian Reward Saver Account</w:t>
      </w:r>
      <w:r>
        <w:rPr>
          <w:b w:val="off"/>
          <w:i w:val="off"/>
        </w:rPr>
        <w:t xml:space="preserve"> held in the name of </w:t>
      </w:r>
      <w:r>
        <w:rPr>
          <w:b w:val="on"/>
          <w:i w:val="off"/>
        </w:rPr>
        <w:t>Mr James Porter</w:t>
      </w:r>
      <w:r>
        <w:rPr>
          <w:b w:val="off"/>
          <w:i w:val="off"/>
        </w:rPr>
        <w:t xml:space="preserve"> (account number </w:t>
      </w:r>
      <w:r>
        <w:rPr>
          <w:b w:val="off"/>
          <w:i w:val="off"/>
          <w:u w:val="single"/>
        </w:rPr>
        <w:t>GB82 MERI 4047 5312 8741 63</w:t>
      </w:r>
      <w:r>
        <w:rPr>
          <w:b w:val="off"/>
          <w:i w:val="off"/>
        </w:rPr>
        <w:t xml:space="preserve">, sort code </w:t>
      </w:r>
      <w:r>
        <w:rPr>
          <w:b w:val="off"/>
          <w:i w:val="off"/>
        </w:rPr>
        <w:t>40-47-53</w:t>
      </w:r>
      <w:r>
        <w:rPr>
          <w:b w:val="off"/>
          <w:i w:val="off"/>
        </w:rPr>
        <w:t xml:space="preserve">) showed a cleared balance of </w:t>
      </w:r>
      <w:r>
        <w:rPr>
          <w:b w:val="on"/>
          <w:i w:val="off"/>
        </w:rPr>
        <w:t>GBP</w:t>
      </w:r>
      <w:r>
        <w:rPr>
          <w:b w:val="on"/>
          <w:i w:val="off"/>
        </w:rPr>
        <w:t xml:space="preserve"> </w:t>
      </w:r>
      <w:r>
        <w:rPr>
          <w:b w:val="on"/>
          <w:i w:val="off"/>
        </w:rPr>
        <w:t>24,567.89</w:t>
      </w:r>
      <w:r>
        <w:rPr>
          <w:b w:val="off"/>
          <w:i w:val="off"/>
        </w:rPr>
        <w:t xml:space="preserve"> as at close of business on </w:t>
      </w:r>
      <w:r>
        <w:rPr>
          <w:b w:val="on"/>
          <w:i w:val="off"/>
        </w:rPr>
        <w:t>2026-06-30</w:t>
      </w:r>
      <w:r>
        <w:rPr>
          <w:b w:val="off"/>
          <w:i w:val="off"/>
        </w:rPr>
        <w:t>.</w:t>
      </w:r>
    </w:p>
    <w:p>
      <w:pPr>
        <w:pStyle w:val="ClauseBody"/>
      </w:pPr>
      <w:r>
        <w:rPr>
          <w:b w:val="off"/>
          <w:i w:val="off"/>
        </w:rPr>
        <w:t xml:space="preserve">Available balance (after pending transactions): </w:t>
      </w:r>
      <w:r>
        <w:rPr>
          <w:b w:val="on"/>
          <w:i w:val="off"/>
        </w:rPr>
        <w:t>GBP</w:t>
      </w:r>
      <w:r>
        <w:rPr>
          <w:b w:val="on"/>
          <w:i w:val="off"/>
        </w:rPr>
        <w:t xml:space="preserve"> </w:t>
      </w:r>
      <w:r>
        <w:rPr>
          <w:b w:val="on"/>
          <w:i w:val="off"/>
        </w:rPr>
        <w:t>24,517.89</w:t>
      </w:r>
      <w:r>
        <w:rPr>
          <w:b w:val="off"/>
          <w:i w:val="off"/>
        </w:rPr>
        <w:t>.</w:t>
      </w:r>
    </w:p>
    <w:p/>
    <w:p>
      <w:pPr>
        <w:sectPr>
          <w:type w:val="nextPage"/>
        </w:sectPr>
      </w:pPr>
    </w:p>
    <w:p>
      <w:pPr>
        <w:jc w:val="left"/>
      </w:pPr>
      <w:r>
        <w:rPr>
          <w:b w:val="on"/>
          <w:sz w:val="24"/>
        </w:rPr>
        <w:t>Transaction Summary</w:t>
      </w:r>
    </w:p>
    <w:p>
      <w:pPr>
        <w:pStyle w:val="Heading2"/>
      </w:pPr>
      <w:r>
        <w:rPr>
          <w:b w:val="on"/>
          <w:i w:val="off"/>
        </w:rPr>
        <w:t xml:space="preserve">1 </w:t>
      </w:r>
      <w:r>
        <w:rPr>
          <w:b w:val="off"/>
          <w:i w:val="off"/>
        </w:rPr>
        <w:t>Transaction Summary</w:t>
      </w:r>
    </w:p>
    <w:p>
      <w:pPr>
        <w:pStyle w:val="ScheduleTitle"/>
      </w:pPr>
      <w:r>
        <w:rPr>
          <w:b w:val="off"/>
          <w:i w:val="off"/>
        </w:rPr>
        <w:t>Schedule 1 — Recent Transactions (last 30 days)</w:t>
      </w:r>
    </w:p>
    <w:p/>
    <w:tbl>
      <w:tblPr>
        <w:tblW w:w="0" w:type="auto"/>
        <w:tblBorders>
          <w:top w:val="single"/>
          <w:left w:val="single"/>
          <w:bottom w:val="single"/>
          <w:right w:val="single"/>
          <w:insideH w:val="single"/>
          <w:insideV w:val="single"/>
        </w:tblBorders>
      </w:tblPr>
      <w:tr>
        <w:tc>
          <w:p>
            <w:pPr>
              <w:pStyle w:val="TableHeader"/>
            </w:pPr>
            <w:r>
              <w:rPr>
                <w:b w:val="on"/>
                <w:i w:val="off"/>
              </w:rPr>
              <w:t>Date</w:t>
            </w:r>
          </w:p>
        </w:tc>
        <w:tc>
          <w:p>
            <w:pPr>
              <w:pStyle w:val="TableHeader"/>
            </w:pPr>
            <w:r>
              <w:rPr>
                <w:b w:val="on"/>
                <w:i w:val="off"/>
              </w:rPr>
              <w:t>Description</w:t>
            </w:r>
          </w:p>
        </w:tc>
        <w:tc>
          <w:p>
            <w:pPr>
              <w:pStyle w:val="TableHeader"/>
            </w:pPr>
            <w:r>
              <w:rPr>
                <w:b w:val="on"/>
                <w:i w:val="off"/>
              </w:rPr>
              <w:t>Amount</w:t>
            </w:r>
          </w:p>
        </w:tc>
        <w:tc>
          <w:p>
            <w:pPr>
              <w:pStyle w:val="TableHeader"/>
            </w:pPr>
            <w:r>
              <w:rPr>
                <w:b w:val="on"/>
                <w:i w:val="off"/>
              </w:rPr>
              <w:t>Balance</w:t>
            </w:r>
          </w:p>
        </w:tc>
      </w:tr>
      <w:tr>
        <w:tc>
          <w:p>
            <w:r>
              <w:rPr>
                <w:b w:val="off"/>
                <w:i w:val="off"/>
              </w:rPr>
              <w:t>2026-06-28</w:t>
            </w:r>
          </w:p>
        </w:tc>
        <w:tc>
          <w:p>
            <w:r>
              <w:rPr>
                <w:b w:val="off"/>
                <w:i w:val="off"/>
              </w:rPr>
              <w:t>Salary credit — Porter Engineering Ltd</w:t>
            </w:r>
          </w:p>
        </w:tc>
        <w:tc>
          <w:p>
            <w:r>
              <w:rPr>
                <w:b w:val="off"/>
                <w:i w:val="off"/>
              </w:rPr>
              <w:t>+3,250.00</w:t>
            </w:r>
          </w:p>
        </w:tc>
        <w:tc>
          <w:p>
            <w:r>
              <w:rPr>
                <w:b w:val="off"/>
                <w:i w:val="off"/>
              </w:rPr>
              <w:t>24,567.89</w:t>
            </w:r>
          </w:p>
        </w:tc>
      </w:tr>
      <w:tr>
        <w:tc>
          <w:p>
            <w:r>
              <w:rPr>
                <w:b w:val="off"/>
                <w:i w:val="off"/>
              </w:rPr>
              <w:t>2026-06-25</w:t>
            </w:r>
          </w:p>
        </w:tc>
        <w:tc>
          <w:p>
            <w:r>
              <w:rPr>
                <w:b w:val="off"/>
                <w:i w:val="off"/>
              </w:rPr>
              <w:t>Standing order — Mortgage payment</w:t>
            </w:r>
          </w:p>
        </w:tc>
        <w:tc>
          <w:p>
            <w:r>
              <w:rPr>
                <w:b w:val="off"/>
                <w:i w:val="off"/>
              </w:rPr>
              <w:t>-1,125.00</w:t>
            </w:r>
          </w:p>
        </w:tc>
        <w:tc>
          <w:p>
            <w:r>
              <w:rPr>
                <w:b w:val="off"/>
                <w:i w:val="off"/>
              </w:rPr>
              <w:t>21,317.89</w:t>
            </w:r>
          </w:p>
        </w:tc>
      </w:tr>
      <w:tr>
        <w:tc>
          <w:p>
            <w:r>
              <w:rPr>
                <w:b w:val="off"/>
                <w:i w:val="off"/>
              </w:rPr>
              <w:t>2026-06-20</w:t>
            </w:r>
          </w:p>
        </w:tc>
        <w:tc>
          <w:p>
            <w:r>
              <w:rPr>
                <w:b w:val="off"/>
                <w:i w:val="off"/>
              </w:rPr>
              <w:t>Interest credit</w:t>
            </w:r>
          </w:p>
        </w:tc>
        <w:tc>
          <w:p>
            <w:r>
              <w:rPr>
                <w:b w:val="off"/>
                <w:i w:val="off"/>
              </w:rPr>
              <w:t>+87.42</w:t>
            </w:r>
          </w:p>
        </w:tc>
        <w:tc>
          <w:p>
            <w:r>
              <w:rPr>
                <w:b w:val="off"/>
                <w:i w:val="off"/>
              </w:rPr>
              <w:t>22,442.89</w:t>
            </w:r>
          </w:p>
        </w:tc>
      </w:tr>
      <w:tr>
        <w:tc>
          <w:p>
            <w:r>
              <w:rPr>
                <w:b w:val="off"/>
                <w:i w:val="off"/>
              </w:rPr>
              <w:t>2026-06-15</w:t>
            </w:r>
          </w:p>
        </w:tc>
        <w:tc>
          <w:p>
            <w:r>
              <w:rPr>
                <w:b w:val="off"/>
                <w:i w:val="off"/>
              </w:rPr>
              <w:t>Direct debit — British Gas</w:t>
            </w:r>
          </w:p>
        </w:tc>
        <w:tc>
          <w:p>
            <w:r>
              <w:rPr>
                <w:b w:val="off"/>
                <w:i w:val="off"/>
              </w:rPr>
              <w:t>-142.50</w:t>
            </w:r>
          </w:p>
        </w:tc>
        <w:tc>
          <w:p>
            <w:r>
              <w:rPr>
                <w:b w:val="off"/>
                <w:i w:val="off"/>
              </w:rPr>
              <w:t>22,355.47</w:t>
            </w:r>
          </w:p>
        </w:tc>
      </w:tr>
      <w:tr>
        <w:tc>
          <w:p>
            <w:r>
              <w:rPr>
                <w:b w:val="off"/>
                <w:i w:val="off"/>
              </w:rPr>
              <w:t>2026-06-10</w:t>
            </w:r>
          </w:p>
        </w:tc>
        <w:tc>
          <w:p>
            <w:r>
              <w:rPr>
                <w:b w:val="off"/>
                <w:i w:val="off"/>
              </w:rPr>
              <w:t>Transfer from current account</w:t>
            </w:r>
          </w:p>
        </w:tc>
        <w:tc>
          <w:p>
            <w:r>
              <w:rPr>
                <w:b w:val="off"/>
                <w:i w:val="off"/>
              </w:rPr>
              <w:t>+2,000.00</w:t>
            </w:r>
          </w:p>
        </w:tc>
        <w:tc>
          <w:p>
            <w:r>
              <w:rPr>
                <w:b w:val="off"/>
                <w:i w:val="off"/>
              </w:rPr>
              <w:t>22,497.97</w:t>
            </w:r>
          </w:p>
        </w:tc>
      </w:tr>
    </w:tbl>
    <w:p>
      <w:pPr>
        <w:sectPr>
          <w:type w:val="nextPage"/>
        </w:sectPr>
      </w:pPr>
    </w:p>
    <w:p>
      <w:pPr>
        <w:jc w:val="left"/>
      </w:pPr>
      <w:r>
        <w:rPr>
          <w:b w:val="on"/>
          <w:sz w:val="24"/>
        </w:rPr>
        <w:t>Interest and Tax</w:t>
      </w:r>
    </w:p>
    <w:p>
      <w:pPr>
        <w:pStyle w:val="Heading2"/>
      </w:pPr>
      <w:r>
        <w:rPr>
          <w:b w:val="on"/>
          <w:i w:val="off"/>
        </w:rPr>
        <w:t xml:space="preserve">1 </w:t>
      </w:r>
      <w:r>
        <w:rPr>
          <w:b w:val="off"/>
          <w:i w:val="off"/>
        </w:rPr>
        <w:t>Interest and Tax</w:t>
      </w:r>
    </w:p>
    <w:p>
      <w:pPr>
        <w:pStyle w:val="ClauseBody"/>
      </w:pPr>
      <w:r>
        <w:rPr>
          <w:b w:val="off"/>
          <w:i w:val="off"/>
        </w:rPr>
        <w:t xml:space="preserve">The gross interest rate applicable to your Account is </w:t>
      </w:r>
      <w:r>
        <w:rPr>
          <w:b w:val="off"/>
          <w:i w:val="off"/>
        </w:rPr>
        <w:t>4.25% gross</w:t>
      </w:r>
      <w:r>
        <w:rPr>
          <w:b w:val="off"/>
          <w:i w:val="off"/>
        </w:rPr>
        <w:t xml:space="preserve"> (AER </w:t>
      </w:r>
      <w:r>
        <w:rPr>
          <w:b w:val="on"/>
          <w:i w:val="off"/>
        </w:rPr>
        <w:t>4.33% AER (variable)</w:t>
      </w:r>
      <w:r>
        <w:rPr>
          <w:b w:val="off"/>
          <w:i w:val="off"/>
        </w:rPr>
        <w:t>). Interest is calculated daily on the cleared credit balance and credited monthly.</w:t>
      </w:r>
    </w:p>
    <w:p>
      <w:pPr>
        <w:pStyle w:val="ClauseBody"/>
      </w:pPr>
      <w:r>
        <w:rPr>
          <w:b w:val="off"/>
          <w:i w:val="off"/>
        </w:rPr>
        <w:t>Interest is paid gross. You may be liable to pay tax on interest received in accordance with UK tax law. It is your responsibility to disclose any interest to HM Revenue &amp; Customs.</w:t>
      </w:r>
    </w:p>
    <w:p>
      <w:pPr>
        <w:sectPr>
          <w:type w:val="nextPage"/>
        </w:sectPr>
      </w:pPr>
    </w:p>
    <w:p>
      <w:pPr>
        <w:jc w:val="left"/>
      </w:pPr>
      <w:r>
        <w:rPr>
          <w:b w:val="on"/>
          <w:sz w:val="24"/>
        </w:rPr>
        <w:t>Applicable Fees</w:t>
      </w:r>
    </w:p>
    <w:p>
      <w:pPr>
        <w:pStyle w:val="Heading2"/>
      </w:pPr>
      <w:r>
        <w:rPr>
          <w:b w:val="on"/>
          <w:i w:val="off"/>
        </w:rPr>
        <w:t xml:space="preserve">1 </w:t>
      </w:r>
      <w:r>
        <w:rPr>
          <w:b w:val="off"/>
          <w:i w:val="off"/>
        </w:rPr>
        <w:t>Applicable Fees</w:t>
      </w:r>
    </w:p>
    <w:p>
      <w:pPr>
        <w:pStyle w:val="ScheduleTitle"/>
      </w:pPr>
      <w:r>
        <w:rPr>
          <w:b w:val="off"/>
          <w:i w:val="off"/>
        </w:rPr>
        <w:t>Schedule 2 — Fees Applied During Statement Period</w:t>
      </w:r>
    </w:p>
    <w:p/>
    <w:tbl>
      <w:tblPr>
        <w:tblW w:w="0" w:type="auto"/>
        <w:tblBorders>
          <w:top w:val="single"/>
          <w:left w:val="single"/>
          <w:bottom w:val="single"/>
          <w:right w:val="single"/>
          <w:insideH w:val="single"/>
          <w:insideV w:val="single"/>
        </w:tblBorders>
      </w:tblPr>
      <w:tr>
        <w:tc>
          <w:p>
            <w:pPr>
              <w:pStyle w:val="TableHeader"/>
            </w:pPr>
            <w:r>
              <w:rPr>
                <w:b w:val="on"/>
                <w:i w:val="off"/>
              </w:rPr>
              <w:t>Fee Type</w:t>
            </w:r>
          </w:p>
        </w:tc>
        <w:tc>
          <w:p>
            <w:pPr>
              <w:pStyle w:val="TableHeader"/>
            </w:pPr>
            <w:r>
              <w:rPr>
                <w:b w:val="on"/>
                <w:i w:val="off"/>
              </w:rPr>
              <w:t>Amount</w:t>
            </w:r>
          </w:p>
        </w:tc>
        <w:tc>
          <w:p>
            <w:pPr>
              <w:pStyle w:val="TableHeader"/>
            </w:pPr>
            <w:r>
              <w:rPr>
                <w:b w:val="on"/>
                <w:i w:val="off"/>
              </w:rPr>
              <w:t>Frequency</w:t>
            </w:r>
          </w:p>
        </w:tc>
        <w:tc>
          <w:p>
            <w:pPr>
              <w:pStyle w:val="TableHeader"/>
            </w:pPr>
            <w:r>
              <w:rPr>
                <w:b w:val="on"/>
                <w:i w:val="off"/>
              </w:rPr>
              <w:t>Notes</w:t>
            </w:r>
          </w:p>
        </w:tc>
      </w:tr>
      <w:tr>
        <w:tc>
          <w:p>
            <w:r>
              <w:rPr>
                <w:b w:val="off"/>
                <w:i w:val="off"/>
              </w:rPr>
              <w:t>Monthly account fee</w:t>
            </w:r>
          </w:p>
        </w:tc>
        <w:tc>
          <w:p>
            <w:r>
              <w:rPr>
                <w:b w:val="off"/>
                <w:i w:val="off"/>
              </w:rPr>
              <w:t>£0.00</w:t>
            </w:r>
          </w:p>
        </w:tc>
        <w:tc>
          <w:p>
            <w:r>
              <w:rPr>
                <w:b w:val="off"/>
                <w:i w:val="off"/>
              </w:rPr>
              <w:t>Monthly</w:t>
            </w:r>
          </w:p>
        </w:tc>
        <w:tc>
          <w:p>
            <w:r>
              <w:rPr>
                <w:b w:val="off"/>
                <w:i w:val="off"/>
              </w:rPr>
              <w:t>No monthly fee for Reward Saver</w:t>
            </w:r>
          </w:p>
        </w:tc>
      </w:tr>
      <w:tr>
        <w:tc>
          <w:p>
            <w:r>
              <w:rPr>
                <w:b w:val="off"/>
                <w:i w:val="off"/>
              </w:rPr>
              <w:t>Withdrawal notice (60-day)</w:t>
            </w:r>
          </w:p>
        </w:tc>
        <w:tc>
          <w:p>
            <w:r>
              <w:rPr>
                <w:b w:val="off"/>
                <w:i w:val="off"/>
              </w:rPr>
              <w:t>£0.00</w:t>
            </w:r>
          </w:p>
        </w:tc>
        <w:tc>
          <w:p>
            <w:r>
              <w:rPr>
                <w:b w:val="off"/>
                <w:i w:val="off"/>
              </w:rPr>
              <w:t>N/A</w:t>
            </w:r>
          </w:p>
        </w:tc>
        <w:tc>
          <w:p>
            <w:r>
              <w:rPr>
                <w:b w:val="off"/>
                <w:i w:val="off"/>
              </w:rPr>
              <w:t>Penalty-free with 60 days notice</w:t>
            </w:r>
          </w:p>
        </w:tc>
      </w:tr>
      <w:tr>
        <w:tc>
          <w:p>
            <w:r>
              <w:rPr>
                <w:b w:val="off"/>
                <w:i w:val="off"/>
              </w:rPr>
              <w:t>Early withdrawal</w:t>
            </w:r>
          </w:p>
        </w:tc>
        <w:tc>
          <w:p>
            <w:r>
              <w:rPr>
                <w:b w:val="off"/>
                <w:i w:val="off"/>
              </w:rPr>
              <w:t>90 days interest</w:t>
            </w:r>
          </w:p>
        </w:tc>
        <w:tc>
          <w:p>
            <w:r>
              <w:rPr>
                <w:b w:val="off"/>
                <w:i w:val="off"/>
              </w:rPr>
              <w:t>Per withdrawal</w:t>
            </w:r>
          </w:p>
        </w:tc>
        <w:tc>
          <w:p>
            <w:r>
              <w:rPr>
                <w:b w:val="off"/>
                <w:i w:val="off"/>
              </w:rPr>
              <w:t>On amount withdrawn without notice</w:t>
            </w:r>
          </w:p>
        </w:tc>
      </w:tr>
    </w:tbl>
    <w:p>
      <w:pPr>
        <w:sectPr>
          <w:type w:val="nextPage"/>
        </w:sectPr>
      </w:pPr>
    </w:p>
    <w:p>
      <w:pPr>
        <w:jc w:val="left"/>
      </w:pPr>
      <w:r>
        <w:rPr>
          <w:b w:val="on"/>
          <w:sz w:val="24"/>
        </w:rPr>
        <w:t>Regulatory Notice</w:t>
      </w:r>
    </w:p>
    <w:p>
      <w:pPr>
        <w:pStyle w:val="Heading2"/>
      </w:pPr>
      <w:r>
        <w:rPr>
          <w:b w:val="on"/>
          <w:i w:val="off"/>
        </w:rPr>
        <w:t xml:space="preserve">1 </w:t>
      </w:r>
      <w:r>
        <w:rPr>
          <w:b w:val="off"/>
          <w:i w:val="off"/>
        </w:rPr>
        <w:t>Regulatory Notice</w:t>
      </w:r>
    </w:p>
    <w:p>
      <w:pPr>
        <w:pStyle w:val="BodyText"/>
      </w:pPr>
      <w:r>
        <w:rPr>
          <w:b w:val="off"/>
          <w:i w:val="off"/>
        </w:rPr>
        <w:t>This balance confirmation reflects the position of your Account as at the date stated above. It does not include transactions that were pending or in process at close of business on that date. The available balance shown may differ from the cleared balance if pending transactions have since been processed.</w:t>
      </w:r>
    </w:p>
    <w:p>
      <w:pPr>
        <w:pStyle w:val="BodyText"/>
      </w:pPr>
      <w:r>
        <w:rPr>
          <w:b w:val="off"/>
          <w:i w:val="off"/>
        </w:rPr>
        <w:t>Your eligible deposits with us are protected up to a total of £85,000 by the Financial Services Compensation Scheme (FSCS). Any deposits you hold above this limit are unlikely to be covered. For further information, please visit www.fscs.org.uk.</w:t>
      </w:r>
    </w:p>
    <w:p>
      <w:pPr>
        <w:pStyle w:val="BodyText"/>
      </w:pPr>
      <w:r>
        <w:rPr>
          <w:b w:val="off"/>
          <w:i w:val="off"/>
        </w:rPr>
        <w:t>We are authorised and regulated by the Financial Conduct Authority and the Prudential Regulation Authority. Our Firm Reference Number is available on request or at register.fca.org.uk.</w:t>
      </w:r>
    </w:p>
    <w:p>
      <w:pPr>
        <w:pStyle w:val="BodyText"/>
      </w:pPr>
      <w:r>
        <w:rPr>
          <w:b w:val="off"/>
          <w:i w:val="off"/>
        </w:rPr>
        <w:t>If you believe any entry on this confirmation is incorrect, please contact us within 14 days of the date of this letter. After this period, the balance confirmation will be deemed accepted unless you have notified us of a discrepancy.</w:t>
      </w:r>
    </w:p>
    <w:p>
      <w:pPr>
        <w:pStyle w:val="BodyText"/>
      </w:pPr>
      <w:r>
        <w:rPr>
          <w:b w:val="off"/>
          <w:i w:val="off"/>
        </w:rPr>
        <w:t>This confirmation is issued solely for the customer named above and may not be relied upon by any third party without our prior written consent.</w:t>
      </w:r>
    </w:p>
    <w:p>
      <w:pPr>
        <w:pStyle w:val="BodyText"/>
      </w:pPr>
      <w:r>
        <w:rPr>
          <w:b w:val="off"/>
          <w:i w:val="off"/>
        </w:rPr>
        <w:t>Governing law: This confirmation is governed by the laws of England and Wales. For complaints unresolved by us, you may refer the matter to the Financial Ombudsman Service.</w:t>
      </w:r>
    </w:p>
    <w:p>
      <w:pPr>
        <w:sectPr>
          <w:type w:val="nextPage"/>
        </w:sectPr>
      </w:pPr>
    </w:p>
    <w:p>
      <w:pPr>
        <w:jc w:val="left"/>
      </w:pPr>
      <w:r>
        <w:rPr>
          <w:b w:val="on"/>
          <w:sz w:val="24"/>
        </w:rPr>
        <w:t>Authorised Signatory</w:t>
      </w:r>
    </w:p>
    <w:p>
      <w:pPr>
        <w:pStyle w:val="Heading2"/>
      </w:pPr>
      <w:r>
        <w:rPr>
          <w:b w:val="on"/>
          <w:i w:val="off"/>
        </w:rPr>
        <w:t xml:space="preserve">1 </w:t>
      </w:r>
      <w:r>
        <w:rPr>
          <w:b w:val="off"/>
          <w:i w:val="off"/>
        </w:rPr>
        <w:t>Authorised Signatory</w:t>
      </w:r>
    </w:p>
    <w:p>
      <w:pPr>
        <w:pStyle w:val="SignatureBlock"/>
      </w:pPr>
      <w:r>
        <w:rPr>
          <w:b w:val="off"/>
          <w:i w:val="off"/>
        </w:rPr>
        <w:t>Yours faithfully,</w:t>
      </w:r>
    </w:p>
    <w:p>
      <w:pPr>
        <w:pStyle w:val="SignatureBlock"/>
      </w:pPr>
      <w:r>
        <w:rPr>
          <w:b w:val="on"/>
          <w:i w:val="off"/>
        </w:rPr>
        <w:t>James R. Thornton</w:t>
      </w:r>
    </w:p>
    <w:p>
      <w:pPr>
        <w:pStyle w:val="SignatureBlock"/>
      </w:pPr>
      <w:r>
        <w:rPr>
          <w:b w:val="off"/>
          <w:i w:val="off"/>
        </w:rPr>
        <w:t>Head of Retail Banking — North Region</w:t>
      </w:r>
    </w:p>
    <w:p>
      <w:pPr>
        <w:pStyle w:val="SignatureBlock"/>
      </w:pPr>
      <w:r>
        <w:rPr>
          <w:b w:val="off"/>
          <w:i w:val="off"/>
        </w:rPr>
        <w:t>Meridian Retail Banking</w:t>
      </w:r>
    </w:p>
    <w:p>
      <w:pPr>
        <w:sectPr>
          <w:type w:val="nextPage"/>
        </w:sectPr>
      </w:pPr>
    </w:p>
    <w:p>
      <w:pPr>
        <w:jc w:val="left"/>
      </w:pPr>
      <w:r>
        <w:rPr>
          <w:b w:val="on"/>
          <w:sz w:val="24"/>
        </w:rPr>
        <w:t>Important Information</w:t>
      </w:r>
    </w:p>
    <w:p>
      <w:pPr>
        <w:pStyle w:val="Heading2"/>
      </w:pPr>
      <w:r>
        <w:rPr>
          <w:b w:val="on"/>
          <w:i w:val="off"/>
        </w:rPr>
        <w:t xml:space="preserve">1 </w:t>
      </w:r>
      <w:r>
        <w:rPr>
          <w:b w:val="off"/>
          <w:i w:val="off"/>
        </w:rPr>
        <w:t>Important Information</w:t>
      </w:r>
    </w:p>
    <w:p>
      <w:pPr>
        <w:pStyle w:val="ClauseBody"/>
      </w:pPr>
      <w:r>
        <w:rPr>
          <w:b w:val="off"/>
          <w:i w:val="off"/>
        </w:rPr>
        <w:t>This balance confirmation is provided for your information only and should not be relied upon for mortgage, visa or other official purposes without independent verification. For certified balance confirmations, please contact your branch.</w:t>
      </w:r>
    </w:p>
    <w:p>
      <w:pPr>
        <w:pStyle w:val="ClauseBody"/>
      </w:pPr>
      <w:r>
        <w:rPr>
          <w:b w:val="off"/>
          <w:i w:val="off"/>
        </w:rPr>
        <w:t>This is a demonstration document issued for system testing purposes.</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Customer Service: 0800 123 4567  |  42 High Street, Manchester M1 1AA  |  FSCS protected deposits</w:t>
    </w:r>
  </w:p>
  <w:p>
    <w:pPr>
      <w:jc w:val="center"/>
    </w:pPr>
    <w:r>
      <w:rPr>
        <w:sz w:val="16"/>
        <w:rFonts w:ascii="Calibri" w:hAnsi="Calibri" w:cs="Calibri" w:eastAsia="Calibri"/>
      </w:rPr>
      <w:t xml:space="preserve">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6633"/>
      </w:rPr>
      <w:t>Meridian Retail Banking — Customer Correspondence</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 w:type="paragraph" w:styleId="DisclaimerBody">
    <w:name w:val="DisclaimerBody"/>
    <w:qFormat/>
    <w:rPr>
      <w:sz w:val="16"/>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2026-07-20T11:01:07Z</dcterms:created>
  <dc:creator>Apache POI</dc:creator>
</cp:coreProperties>
</file>