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Documentary Credit Advice</w:t>
      </w:r>
    </w:p>
    <w:p>
      <w:pPr>
        <w:pStyle w:val="ClauseBody"/>
      </w:pPr>
      <w:r>
        <w:drawing>
          <wp:inline distT="0" distR="0" distB="0" distL="0">
            <wp:extent cx="609600" cy="609600"/>
            <wp:docPr id="1" name="Drawing 1" descr="IMG-1.png"/>
            <a:graphic xmlns:a="http://schemas.openxmlformats.org/drawingml/2006/main">
              <a:graphicData uri="http://schemas.openxmlformats.org/drawingml/2006/picture">
                <pic:pic xmlns:pic="http://schemas.openxmlformats.org/drawingml/2006/picture">
                  <pic:nvPicPr>
                    <pic:cNvPr id="0" name="Picture 1"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Shanghai Apex Trading Co., Ltd.</w:t>
      </w:r>
    </w:p>
    <w:p>
      <w:pPr>
        <w:pStyle w:val="ClauseBody"/>
      </w:pPr>
      <w:r>
        <w:rPr>
          <w:b w:val="off"/>
          <w:i w:val="off"/>
        </w:rPr>
        <w:t>Floor 18, Lujiazui Tower, 1688 Lujiazui Ring Road, Shanghai 200120, China</w:t>
      </w:r>
    </w:p>
    <w:p>
      <w:pPr>
        <w:pStyle w:val="ClauseBody"/>
      </w:pPr>
      <w:r>
        <w:rPr>
          <w:b w:val="off"/>
          <w:i w:val="off"/>
        </w:rPr>
        <w:t>Dear Sir or Madam,</w:t>
      </w:r>
    </w:p>
    <w:p>
      <w:pPr>
        <w:pStyle w:val="ClauseBody"/>
      </w:pPr>
      <w:r>
        <w:rPr>
          <w:b w:val="off"/>
          <w:i w:val="off"/>
        </w:rPr>
        <w:t xml:space="preserve">Re: Documentary Credit No. </w:t>
      </w:r>
      <w:r>
        <w:rPr>
          <w:b w:val="off"/>
          <w:i w:val="off"/>
          <w:u w:val="single"/>
        </w:rPr>
        <w:t>LC-2026-MERI-44821</w:t>
      </w:r>
      <w:r>
        <w:rPr>
          <w:b w:val="off"/>
          <w:i w:val="off"/>
        </w:rPr>
        <w:t xml:space="preserve"> — Applicant Ref. </w:t>
      </w:r>
      <w:r>
        <w:rPr>
          <w:b w:val="off"/>
          <w:i w:val="off"/>
        </w:rPr>
        <w:t>EP-PO-2026-8841</w:t>
      </w:r>
    </w:p>
    <w:p>
      <w:pPr>
        <w:pStyle w:val="ClauseBody"/>
      </w:pPr>
      <w:r>
        <w:rPr>
          <w:b w:val="off"/>
          <w:i w:val="off"/>
        </w:rPr>
        <w:t xml:space="preserve">We, </w:t>
      </w:r>
      <w:r>
        <w:rPr>
          <w:b w:val="on"/>
          <w:i w:val="off"/>
        </w:rPr>
        <w:t>Meridian Global Banking Corporation — Trade Services</w:t>
      </w:r>
      <w:r>
        <w:rPr>
          <w:b w:val="off"/>
          <w:i w:val="off"/>
        </w:rPr>
        <w:t xml:space="preserve"> of </w:t>
      </w:r>
      <w:r>
        <w:rPr>
          <w:b w:val="off"/>
          <w:i w:val="off"/>
        </w:rPr>
        <w:t>25 Lombard Street, London EC3V 9AA, United Kingdom</w:t>
      </w:r>
      <w:r>
        <w:rPr>
          <w:b w:val="off"/>
          <w:i w:val="off"/>
        </w:rPr>
        <w:t xml:space="preserve"> (SWIFT </w:t>
      </w:r>
      <w:r>
        <w:rPr>
          <w:b w:val="off"/>
          <w:i w:val="off"/>
        </w:rPr>
        <w:t>MERIGB2L</w:t>
      </w:r>
      <w:r>
        <w:rPr>
          <w:b w:val="off"/>
          <w:i w:val="off"/>
        </w:rPr>
        <w:t xml:space="preserve">), acting as issuing bank, are pleased to advise that an irrevocable documentary credit has been issued at the request and for the account of </w:t>
      </w:r>
      <w:r>
        <w:rPr>
          <w:b w:val="on"/>
          <w:i w:val="off"/>
        </w:rPr>
        <w:t>EuroParts GmbH</w:t>
      </w:r>
      <w:r>
        <w:rPr>
          <w:b w:val="off"/>
          <w:i w:val="off"/>
        </w:rPr>
        <w:t xml:space="preserve"> of </w:t>
      </w:r>
      <w:r>
        <w:rPr>
          <w:b w:val="off"/>
          <w:i w:val="off"/>
        </w:rPr>
        <w:t>Industriestrasse 42, 80339 München, Germany</w:t>
      </w:r>
      <w:r>
        <w:rPr>
          <w:b w:val="off"/>
          <w:i w:val="off"/>
        </w:rPr>
        <w:t xml:space="preserve"> in your favour, subject to the </w:t>
      </w:r>
      <w:r>
        <w:rPr>
          <w:b w:val="off"/>
          <w:i w:val="off"/>
        </w:rPr>
        <w:t>UCP 600 (ICC Publication 600) and ISBP 745</w:t>
      </w:r>
      <w:r>
        <w:rPr>
          <w:b w:val="off"/>
          <w:i w:val="off"/>
        </w:rPr>
        <w:t>.</w:t>
      </w:r>
    </w:p>
    <w:p>
      <w:pPr>
        <w:pStyle w:val="ClauseBody"/>
      </w:pPr>
      <w:r>
        <w:rPr>
          <w:b w:val="off"/>
          <w:i w:val="off"/>
        </w:rPr>
        <w:t xml:space="preserve">This credit is advised through </w:t>
      </w:r>
      <w:r>
        <w:rPr>
          <w:b w:val="off"/>
          <w:i w:val="off"/>
        </w:rPr>
        <w:t>Deutsche Handelsbank AG, Frankfurt</w:t>
      </w:r>
      <w:r>
        <w:rPr>
          <w:b w:val="off"/>
          <w:i w:val="off"/>
        </w:rPr>
        <w:t xml:space="preserve"> without engagement on our part.</w:t>
      </w:r>
    </w:p>
    <w:p>
      <w:pPr>
        <w:sectPr>
          <w:type w:val="nextPage"/>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"Beneficiary"</w:t>
      </w:r>
      <w:r>
        <w:rPr>
          <w:b w:val="off"/>
          <w:i w:val="off"/>
        </w:rPr>
        <w:t xml:space="preserve"> means </w:t>
      </w:r>
      <w:r>
        <w:rPr>
          <w:b w:val="on"/>
          <w:i w:val="off"/>
        </w:rPr>
        <w:t>Shanghai Apex Trading Co., Ltd.</w:t>
      </w:r>
      <w:r>
        <w:rPr>
          <w:b w:val="off"/>
          <w:i w:val="off"/>
        </w:rPr>
        <w:t xml:space="preserve"> of </w:t>
      </w:r>
      <w:r>
        <w:rPr>
          <w:b w:val="off"/>
          <w:i w:val="off"/>
        </w:rPr>
        <w:t>Floor 18, Lujiazui Tower, 1688 Lujiazui Ring Road, Shanghai 200120, China</w:t>
      </w:r>
      <w:r>
        <w:rPr>
          <w:b w:val="off"/>
          <w:i w:val="off"/>
        </w:rPr>
        <w:t>.</w:t>
      </w:r>
    </w:p>
    <w:p>
      <w:pPr>
        <w:pStyle w:val="DefinedTerm"/>
      </w:pPr>
      <w:r>
        <w:rPr>
          <w:b w:val="off"/>
          <w:i w:val="off"/>
        </w:rPr>
        <w:t>"Applicant"</w:t>
      </w:r>
      <w:r>
        <w:rPr>
          <w:b w:val="off"/>
          <w:i w:val="off"/>
        </w:rPr>
        <w:t xml:space="preserve"> means </w:t>
      </w:r>
      <w:r>
        <w:rPr>
          <w:b w:val="on"/>
          <w:i w:val="off"/>
        </w:rPr>
        <w:t>EuroParts GmbH</w:t>
      </w:r>
      <w:r>
        <w:rPr>
          <w:b w:val="off"/>
          <w:i w:val="off"/>
        </w:rPr>
        <w:t xml:space="preserve"> of </w:t>
      </w:r>
      <w:r>
        <w:rPr>
          <w:b w:val="off"/>
          <w:i w:val="off"/>
        </w:rPr>
        <w:t>Industriestrasse 42, 80339 München, Germany</w:t>
      </w:r>
      <w:r>
        <w:rPr>
          <w:b w:val="off"/>
          <w:i w:val="off"/>
        </w:rPr>
        <w:t>.</w:t>
      </w:r>
    </w:p>
    <w:p>
      <w:pPr>
        <w:pStyle w:val="DefinedTerm"/>
      </w:pPr>
      <w:r>
        <w:rPr>
          <w:b w:val="off"/>
          <w:i w:val="off"/>
        </w:rPr>
        <w:t>"Credit"</w:t>
      </w:r>
      <w:r>
        <w:rPr>
          <w:b w:val="off"/>
          <w:i w:val="off"/>
        </w:rPr>
        <w:t xml:space="preserve"> means documentary credit number </w:t>
      </w:r>
      <w:r>
        <w:rPr>
          <w:b w:val="off"/>
          <w:i w:val="off"/>
          <w:u w:val="single"/>
        </w:rPr>
        <w:t>LC-2026-MERI-44821</w:t>
      </w:r>
      <w:r>
        <w:rPr>
          <w:b w:val="off"/>
          <w:i w:val="off"/>
        </w:rPr>
        <w:t xml:space="preserve"> for an amount not exceeding </w:t>
      </w:r>
      <w:r>
        <w:rPr>
          <w:b w:val="on"/>
          <w:i w:val="off"/>
        </w:rPr>
        <w:t>USD</w:t>
      </w:r>
      <w:r>
        <w:rPr>
          <w:b w:val="on"/>
          <w:i w:val="off"/>
        </w:rPr>
        <w:t xml:space="preserve"> </w:t>
      </w:r>
      <w:r>
        <w:rPr>
          <w:b w:val="on"/>
          <w:i w:val="off"/>
        </w:rPr>
        <w:t>1,250,000.00</w:t>
      </w:r>
      <w:r>
        <w:rPr>
          <w:b w:val="off"/>
          <w:i w:val="off"/>
        </w:rPr>
        <w:t>.</w:t>
      </w:r>
    </w:p>
    <w:p>
      <w:pPr>
        <w:pStyle w:val="DefinedTerm"/>
      </w:pPr>
      <w:r>
        <w:rPr>
          <w:b w:val="off"/>
          <w:i w:val="off"/>
        </w:rPr>
        <w:t>"Expiry Date"</w:t>
      </w:r>
      <w:r>
        <w:rPr>
          <w:b w:val="off"/>
          <w:i w:val="off"/>
        </w:rPr>
        <w:t xml:space="preserve"> means </w:t>
      </w:r>
      <w:r>
        <w:rPr>
          <w:b w:val="off"/>
          <w:i w:val="off"/>
        </w:rPr>
        <w:t>2026-09-30</w:t>
      </w:r>
      <w:r>
        <w:rPr>
          <w:b w:val="off"/>
          <w:i w:val="off"/>
        </w:rPr>
        <w:t xml:space="preserve"> at </w:t>
      </w:r>
      <w:r>
        <w:rPr>
          <w:b w:val="off"/>
          <w:i w:val="off"/>
        </w:rPr>
        <w:t>our counters in London</w:t>
      </w:r>
      <w:r>
        <w:rPr>
          <w:b w:val="off"/>
          <w:i w:val="off"/>
        </w:rPr>
        <w:t>.</w:t>
      </w:r>
    </w:p>
    <w:p>
      <w:pPr>
        <w:sectPr>
          <w:type w:val="nextPage"/>
        </w:sectPr>
      </w:pPr>
    </w:p>
    <w:p>
      <w:pPr>
        <w:jc w:val="left"/>
      </w:pPr>
      <w:r>
        <w:rPr>
          <w:b w:val="on"/>
          <w:sz w:val="24"/>
        </w:rPr>
        <w:t>Credit Particulars</w:t>
      </w:r>
    </w:p>
    <w:p>
      <w:pPr>
        <w:pStyle w:val="Heading2"/>
      </w:pPr>
      <w:r>
        <w:rPr>
          <w:b w:val="on"/>
          <w:i w:val="off"/>
        </w:rPr>
        <w:t xml:space="preserve">1 </w:t>
      </w:r>
      <w:r>
        <w:rPr>
          <w:b w:val="off"/>
          <w:i w:val="off"/>
        </w:rPr>
        <w:t>Credit Particulars</w:t>
      </w:r>
    </w:p>
    <w:p>
      <w:pPr>
        <w:pStyle w:val="ClauseBody"/>
      </w:pPr>
      <w:r>
        <w:rPr>
          <w:b w:val="off"/>
          <w:i w:val="off"/>
        </w:rPr>
        <w:t xml:space="preserve">Form of Credit: Irrevocable documentary credit. Available </w:t>
      </w:r>
      <w:r>
        <w:rPr>
          <w:b w:val="on"/>
          <w:i w:val="off"/>
        </w:rPr>
        <w:t>by deferred payment at 90 days after sight</w:t>
      </w:r>
      <w:r>
        <w:rPr>
          <w:b w:val="off"/>
          <w:i w:val="off"/>
        </w:rPr>
        <w:t xml:space="preserve">. Drafts </w:t>
      </w:r>
      <w:r>
        <w:rPr>
          <w:b w:val="off"/>
          <w:i w:val="off"/>
        </w:rPr>
        <w:t>at 90 days after sight on us</w:t>
      </w:r>
      <w:r>
        <w:rPr>
          <w:b w:val="off"/>
          <w:i w:val="off"/>
        </w:rPr>
        <w:t>.</w:t>
      </w:r>
    </w:p>
    <w:p>
      <w:pPr>
        <w:pStyle w:val="ClauseBody"/>
      </w:pPr>
      <w:r>
        <w:rPr>
          <w:b w:val="off"/>
          <w:i w:val="off"/>
        </w:rPr>
        <w:t xml:space="preserve">Amount: </w:t>
      </w:r>
      <w:r>
        <w:rPr>
          <w:b w:val="on"/>
          <w:i w:val="off"/>
        </w:rPr>
        <w:t>USD</w:t>
      </w:r>
      <w:r>
        <w:rPr>
          <w:b w:val="on"/>
          <w:i w:val="off"/>
        </w:rPr>
        <w:t xml:space="preserve"> </w:t>
      </w:r>
      <w:r>
        <w:rPr>
          <w:b w:val="on"/>
          <w:i w:val="off"/>
        </w:rPr>
        <w:t>1,250,000.00</w:t>
      </w:r>
      <w:r>
        <w:rPr>
          <w:b w:val="off"/>
          <w:i w:val="off"/>
        </w:rPr>
        <w:t xml:space="preserve"> (tolerance: none unless otherwise stated in field 39A of the operative instrument).</w:t>
      </w:r>
    </w:p>
    <w:p>
      <w:pPr>
        <w:pStyle w:val="ClauseBody"/>
      </w:pPr>
      <w:r>
        <w:rPr>
          <w:b w:val="off"/>
          <w:i w:val="off"/>
        </w:rPr>
        <w:t xml:space="preserve">Presentation period: </w:t>
      </w:r>
      <w:r>
        <w:rPr>
          <w:b w:val="off"/>
          <w:i w:val="off"/>
        </w:rPr>
        <w:t>21 days after the date of shipment but within the validity of the credit</w:t>
      </w:r>
      <w:r>
        <w:rPr>
          <w:b w:val="off"/>
          <w:i w:val="off"/>
        </w:rPr>
        <w:t xml:space="preserve"> at </w:t>
      </w:r>
      <w:r>
        <w:rPr>
          <w:b w:val="off"/>
          <w:i w:val="off"/>
        </w:rPr>
        <w:t>our counters in London or via approved electronic channel</w:t>
      </w:r>
      <w:r>
        <w:rPr>
          <w:b w:val="off"/>
          <w:i w:val="off"/>
        </w:rPr>
        <w:t>.</w:t>
      </w:r>
    </w:p>
    <w:p>
      <w:pPr>
        <w:pStyle w:val="ClauseBody"/>
      </w:pPr>
      <w:r>
        <w:rPr>
          <w:b w:val="off"/>
          <w:i w:val="off"/>
        </w:rPr>
        <w:t xml:space="preserve">Bank charges: </w:t>
      </w:r>
      <w:r>
        <w:rPr>
          <w:b w:val="off"/>
          <w:i w:val="off"/>
        </w:rPr>
        <w:t>All banking charges outside the United Kingdom are for the account of the Beneficiary</w:t>
      </w:r>
    </w:p>
    <w:p>
      <w:pPr>
        <w:sectPr>
          <w:type w:val="nextPage"/>
        </w:sectPr>
      </w:pPr>
    </w:p>
    <w:p>
      <w:pPr>
        <w:jc w:val="left"/>
      </w:pPr>
      <w:r>
        <w:rPr>
          <w:b w:val="on"/>
          <w:sz w:val="24"/>
        </w:rPr>
        <w:t>Shipment Terms</w:t>
      </w:r>
    </w:p>
    <w:p>
      <w:pPr>
        <w:pStyle w:val="Heading2"/>
      </w:pPr>
      <w:r>
        <w:rPr>
          <w:b w:val="on"/>
          <w:i w:val="off"/>
        </w:rPr>
        <w:t xml:space="preserve">1 </w:t>
      </w:r>
      <w:r>
        <w:rPr>
          <w:b w:val="off"/>
          <w:i w:val="off"/>
        </w:rPr>
        <w:t>Shipment Terms</w:t>
      </w:r>
    </w:p>
    <w:p>
      <w:pPr>
        <w:pStyle w:val="ClauseBody"/>
      </w:pPr>
      <w:r>
        <w:rPr>
          <w:b w:val="off"/>
          <w:i w:val="off"/>
        </w:rPr>
        <w:t xml:space="preserve">Description of goods: </w:t>
      </w:r>
      <w:r>
        <w:rPr>
          <w:b w:val="off"/>
          <w:i w:val="off"/>
        </w:rPr>
        <w:t>Precision automotive components (HS code 8708.29.00), 12,000 units, packed in 40 containers</w:t>
      </w:r>
    </w:p>
    <w:p>
      <w:pPr>
        <w:pStyle w:val="ClauseBody"/>
      </w:pPr>
      <w:r>
        <w:rPr>
          <w:b w:val="off"/>
          <w:i w:val="off"/>
        </w:rPr>
        <w:t xml:space="preserve">Port of loading / airport of departure: </w:t>
      </w:r>
      <w:r>
        <w:rPr>
          <w:b w:val="off"/>
          <w:i w:val="off"/>
        </w:rPr>
        <w:t>Shanghai, China</w:t>
      </w:r>
      <w:r>
        <w:rPr>
          <w:b w:val="off"/>
          <w:i w:val="off"/>
        </w:rPr>
        <w:t xml:space="preserve">. Port of discharge / airport of destination: </w:t>
      </w:r>
      <w:r>
        <w:rPr>
          <w:b w:val="off"/>
          <w:i w:val="off"/>
        </w:rPr>
        <w:t>Hamburg, Germany</w:t>
      </w:r>
      <w:r>
        <w:rPr>
          <w:b w:val="off"/>
          <w:i w:val="off"/>
        </w:rPr>
        <w:t>.</w:t>
      </w:r>
    </w:p>
    <w:p>
      <w:pPr>
        <w:pStyle w:val="ClauseBody"/>
      </w:pPr>
      <w:r>
        <w:rPr>
          <w:b w:val="off"/>
          <w:i w:val="off"/>
        </w:rPr>
        <w:t xml:space="preserve">Latest date of shipment: </w:t>
      </w:r>
      <w:r>
        <w:rPr>
          <w:b w:val="off"/>
          <w:i w:val="off"/>
          <w:u w:val="single"/>
        </w:rPr>
        <w:t>2026-09-15</w:t>
      </w:r>
      <w:r>
        <w:rPr>
          <w:b w:val="off"/>
          <w:i w:val="off"/>
        </w:rPr>
        <w:t xml:space="preserve">. Incoterms: </w:t>
      </w:r>
      <w:r>
        <w:rPr>
          <w:b w:val="off"/>
          <w:i w:val="off"/>
        </w:rPr>
        <w:t>CIF Hamburg (Incoterms 2020)</w:t>
      </w:r>
      <w:r>
        <w:rPr>
          <w:b w:val="off"/>
          <w:i w:val="off"/>
        </w:rPr>
        <w:t>.</w:t>
      </w:r>
    </w:p>
    <w:p>
      <w:pPr>
        <w:pStyle w:val="ClauseBody"/>
      </w:pPr>
      <w:r>
        <w:rPr>
          <w:b w:val="off"/>
          <w:i w:val="off"/>
        </w:rPr>
        <w:t xml:space="preserve">Partial shipments: </w:t>
      </w:r>
      <w:r>
        <w:rPr>
          <w:b w:val="off"/>
          <w:i w:val="off"/>
        </w:rPr>
        <w:t>not allowed</w:t>
      </w:r>
      <w:r>
        <w:rPr>
          <w:b w:val="off"/>
          <w:i w:val="off"/>
        </w:rPr>
        <w:t xml:space="preserve">. Transhipment: </w:t>
      </w:r>
      <w:r>
        <w:rPr>
          <w:b w:val="off"/>
          <w:i w:val="off"/>
        </w:rPr>
        <w:t>allowed</w:t>
      </w:r>
      <w:r>
        <w:rPr>
          <w:b w:val="off"/>
          <w:i w:val="off"/>
        </w:rPr>
        <w:t>.</w:t>
      </w:r>
    </w:p>
    <w:p>
      <w:pPr>
        <w:sectPr>
          <w:type w:val="nextPage"/>
        </w:sectPr>
      </w:pPr>
    </w:p>
    <w:p>
      <w:pPr>
        <w:jc w:val="left"/>
      </w:pPr>
      <w:r>
        <w:rPr>
          <w:b w:val="on"/>
          <w:sz w:val="24"/>
        </w:rPr>
        <w:t>Documents Required</w:t>
      </w:r>
    </w:p>
    <w:p>
      <w:pPr>
        <w:pStyle w:val="Heading2"/>
      </w:pPr>
      <w:r>
        <w:rPr>
          <w:b w:val="on"/>
          <w:i w:val="off"/>
        </w:rPr>
        <w:t xml:space="preserve">1 </w:t>
      </w:r>
      <w:r>
        <w:rPr>
          <w:b w:val="off"/>
          <w:i w:val="off"/>
        </w:rPr>
        <w:t>Documents Required</w:t>
      </w:r>
    </w:p>
    <w:p>
      <w:pPr>
        <w:pStyle w:val="ClauseBody"/>
      </w:pPr>
      <w:r>
        <w:rPr>
          <w:b w:val="off"/>
          <w:i w:val="off"/>
        </w:rPr>
        <w:t>Each presentation must comprise the following documents in the form and number of originals and copies stated below. All documents must appear on their face to comply with the credit terms and applicable international standard banking practice.</w:t>
      </w:r>
    </w:p>
    <w:p>
      <w:pPr>
        <w:pStyle w:val="ScheduleTitle"/>
      </w:pPr>
      <w:r>
        <w:rPr>
          <w:b w:val="off"/>
          <w:i w:val="off"/>
        </w:rPr>
        <w:t>Schedule 1 — Document Checklist (46A)</w:t>
      </w:r>
    </w:p>
    <w:p/>
    <w:tbl>
      <w:tblPr>
        <w:tblW w:w="0" w:type="auto"/>
        <w:tblBorders>
          <w:top w:val="single"/>
          <w:left w:val="single"/>
          <w:bottom w:val="single"/>
          <w:right w:val="single"/>
          <w:insideH w:val="single"/>
          <w:insideV w:val="single"/>
        </w:tblBorders>
      </w:tblPr>
      <w:tr>
        <w:tc>
          <w:p>
            <w:pPr>
              <w:pStyle w:val="TableHeader"/>
            </w:pPr>
            <w:r>
              <w:rPr>
                <w:b w:val="on"/>
                <w:i w:val="off"/>
              </w:rPr>
              <w:t>No.</w:t>
            </w:r>
          </w:p>
        </w:tc>
        <w:tc>
          <w:p>
            <w:pPr>
              <w:pStyle w:val="TableHeader"/>
            </w:pPr>
            <w:r>
              <w:rPr>
                <w:b w:val="on"/>
                <w:i w:val="off"/>
              </w:rPr>
              <w:t>Document</w:t>
            </w:r>
          </w:p>
        </w:tc>
        <w:tc>
          <w:p>
            <w:pPr>
              <w:pStyle w:val="TableHeader"/>
            </w:pPr>
            <w:r>
              <w:rPr>
                <w:b w:val="on"/>
                <w:i w:val="off"/>
              </w:rPr>
              <w:t>Originals</w:t>
            </w:r>
          </w:p>
        </w:tc>
        <w:tc>
          <w:p>
            <w:pPr>
              <w:pStyle w:val="TableHeader"/>
            </w:pPr>
            <w:r>
              <w:rPr>
                <w:b w:val="on"/>
                <w:i w:val="off"/>
              </w:rPr>
              <w:t>Copies</w:t>
            </w:r>
          </w:p>
        </w:tc>
      </w:tr>
      <w:tr>
        <w:tc>
          <w:p>
            <w:r>
              <w:rPr>
                <w:b w:val="off"/>
                <w:i w:val="off"/>
              </w:rPr>
              <w:t>1</w:t>
            </w:r>
          </w:p>
        </w:tc>
        <w:tc>
          <w:p>
            <w:r>
              <w:rPr>
                <w:b w:val="off"/>
                <w:i w:val="off"/>
              </w:rPr>
              <w:t>Signed commercial invoice in triplicate, indicating LC number and applicant reference.</w:t>
            </w:r>
          </w:p>
        </w:tc>
        <w:tc>
          <w:p>
            <w:r>
              <w:rPr>
                <w:b w:val="off"/>
                <w:i w:val="off"/>
              </w:rPr>
              <w:t>3</w:t>
            </w:r>
          </w:p>
        </w:tc>
        <w:tc>
          <w:p>
            <w:r>
              <w:rPr>
                <w:b w:val="off"/>
                <w:i w:val="off"/>
              </w:rPr>
              <w:t>3</w:t>
            </w:r>
          </w:p>
        </w:tc>
      </w:tr>
      <w:tr>
        <w:tc>
          <w:p>
            <w:r>
              <w:rPr>
                <w:b w:val="off"/>
                <w:i w:val="off"/>
              </w:rPr>
              <w:t>2</w:t>
            </w:r>
          </w:p>
        </w:tc>
        <w:tc>
          <w:p>
            <w:r>
              <w:rPr>
                <w:b w:val="off"/>
                <w:i w:val="off"/>
              </w:rPr>
              <w:t>Full set (3/3) of clean on board marine bills of lading, consigned to order of issuing bank, marked freight prepaid, notify applicant.</w:t>
            </w:r>
          </w:p>
        </w:tc>
        <w:tc>
          <w:p>
            <w:r>
              <w:rPr>
                <w:b w:val="off"/>
                <w:i w:val="off"/>
              </w:rPr>
              <w:t>3</w:t>
            </w:r>
          </w:p>
        </w:tc>
        <w:tc>
          <w:p>
            <w:r>
              <w:rPr>
                <w:b w:val="off"/>
                <w:i w:val="off"/>
              </w:rPr>
              <w:t>0</w:t>
            </w:r>
          </w:p>
        </w:tc>
      </w:tr>
      <w:tr>
        <w:tc>
          <w:p>
            <w:r>
              <w:rPr>
                <w:b w:val="off"/>
                <w:i w:val="off"/>
              </w:rPr>
              <w:t>3</w:t>
            </w:r>
          </w:p>
        </w:tc>
        <w:tc>
          <w:p>
            <w:r>
              <w:rPr>
                <w:b w:val="off"/>
                <w:i w:val="off"/>
              </w:rPr>
              <w:t>Packing list in triplicate, showing gross/net weight, dimensions and container numbers.</w:t>
            </w:r>
          </w:p>
        </w:tc>
        <w:tc>
          <w:p>
            <w:r>
              <w:rPr>
                <w:b w:val="off"/>
                <w:i w:val="off"/>
              </w:rPr>
              <w:t>3</w:t>
            </w:r>
          </w:p>
        </w:tc>
        <w:tc>
          <w:p>
            <w:r>
              <w:rPr>
                <w:b w:val="off"/>
                <w:i w:val="off"/>
              </w:rPr>
              <w:t>3</w:t>
            </w:r>
          </w:p>
        </w:tc>
      </w:tr>
      <w:tr>
        <w:tc>
          <w:p>
            <w:r>
              <w:rPr>
                <w:b w:val="off"/>
                <w:i w:val="off"/>
              </w:rPr>
              <w:t>4</w:t>
            </w:r>
          </w:p>
        </w:tc>
        <w:tc>
          <w:p>
            <w:r>
              <w:rPr>
                <w:b w:val="off"/>
                <w:i w:val="off"/>
              </w:rPr>
              <w:t>Certificate of origin issued by CCPIT, indicating goods are of Chinese origin.</w:t>
            </w:r>
          </w:p>
        </w:tc>
        <w:tc>
          <w:p>
            <w:r>
              <w:rPr>
                <w:b w:val="off"/>
                <w:i w:val="off"/>
              </w:rPr>
              <w:t>1</w:t>
            </w:r>
          </w:p>
        </w:tc>
        <w:tc>
          <w:p>
            <w:r>
              <w:rPr>
                <w:b w:val="off"/>
                <w:i w:val="off"/>
              </w:rPr>
              <w:t>2</w:t>
            </w:r>
          </w:p>
        </w:tc>
      </w:tr>
      <w:tr>
        <w:tc>
          <w:p>
            <w:r>
              <w:rPr>
                <w:b w:val="off"/>
                <w:i w:val="off"/>
              </w:rPr>
              <w:t>5</w:t>
            </w:r>
          </w:p>
        </w:tc>
        <w:tc>
          <w:p>
            <w:r>
              <w:rPr>
                <w:b w:val="off"/>
                <w:i w:val="off"/>
              </w:rPr>
              <w:t>Marine insurance policy or certificate for 110% of CIF value, blank endorsed, covering all risks, Institute Cargo Clauses (A), claims payable at destination.</w:t>
            </w:r>
          </w:p>
        </w:tc>
        <w:tc>
          <w:p>
            <w:r>
              <w:rPr>
                <w:b w:val="off"/>
                <w:i w:val="off"/>
              </w:rPr>
              <w:t>2</w:t>
            </w:r>
          </w:p>
        </w:tc>
        <w:tc>
          <w:p>
            <w:r>
              <w:rPr>
                <w:b w:val="off"/>
                <w:i w:val="off"/>
              </w:rPr>
              <w:t>1</w:t>
            </w:r>
          </w:p>
        </w:tc>
      </w:tr>
      <w:tr>
        <w:tc>
          <w:p>
            <w:r>
              <w:rPr>
                <w:b w:val="off"/>
                <w:i w:val="off"/>
              </w:rPr>
              <w:t>6</w:t>
            </w:r>
          </w:p>
        </w:tc>
        <w:tc>
          <w:p>
            <w:r>
              <w:rPr>
                <w:b w:val="off"/>
                <w:i w:val="off"/>
              </w:rPr>
              <w:t>Beneficiary certificate confirming copies of invoice, packing list and bills of lading sent to applicant within 5 days of shipment.</w:t>
            </w:r>
          </w:p>
        </w:tc>
        <w:tc>
          <w:p>
            <w:r>
              <w:rPr>
                <w:b w:val="off"/>
                <w:i w:val="off"/>
              </w:rPr>
              <w:t>1</w:t>
            </w:r>
          </w:p>
        </w:tc>
        <w:tc>
          <w:p>
            <w:r>
              <w:rPr>
                <w:b w:val="off"/>
                <w:i w:val="off"/>
              </w:rPr>
              <w:t>1</w:t>
            </w:r>
          </w:p>
        </w:tc>
      </w:tr>
    </w:tbl>
    <w:p>
      <w:pPr>
        <w:sectPr>
          <w:type w:val="nextPage"/>
        </w:sectPr>
      </w:pPr>
    </w:p>
    <w:p>
      <w:pPr>
        <w:jc w:val="left"/>
      </w:pPr>
      <w:r>
        <w:rPr>
          <w:b w:val="on"/>
          <w:sz w:val="24"/>
        </w:rPr>
        <w:t>UCP Presentation Terms</w:t>
      </w:r>
    </w:p>
    <w:p>
      <w:pPr>
        <w:pStyle w:val="Heading2"/>
      </w:pPr>
      <w:r>
        <w:rPr>
          <w:b w:val="on"/>
          <w:i w:val="off"/>
        </w:rPr>
        <w:t xml:space="preserve">1 </w:t>
      </w:r>
      <w:r>
        <w:rPr>
          <w:b w:val="off"/>
          <w:i w:val="off"/>
        </w:rPr>
        <w:t>Presentation and Examination</w:t>
      </w:r>
    </w:p>
    <w:p>
      <w:pPr>
        <w:pStyle w:val="BodyText"/>
      </w:pPr>
      <w:r>
        <w:rPr>
          <w:b w:val="off"/>
          <w:i w:val="off"/>
        </w:rPr>
        <w:t>This irrevocable documentary credit is issued subject to the Uniform Customs and Practice for Documentary Credits, 2007 Revision, ICC Publication No. 600 (UCP 600). Except as expressly modified herein, the credit is available with the nominated bank by negotiation of drafts at sight drawn on the issuing bank.</w:t>
      </w:r>
    </w:p>
    <w:p>
      <w:pPr>
        <w:pStyle w:val="BodyText"/>
      </w:pPr>
      <w:r>
        <w:rPr>
          <w:b w:val="off"/>
          <w:i w:val="off"/>
        </w:rPr>
        <w:t>Documents required: (i) signed commercial invoice in three originals; (ii) full set of clean on-board ocean bills of lading consigned to order of Meridian Global Banking Corporation, notify applicant; (iii) packing list in two originals; (iv) certificate of origin; and (v) insurance certificate covering at least 110 per cent. of CIF value, blank endorsed, covering Institute Cargo Clauses (A).</w:t>
      </w:r>
    </w:p>
    <w:p>
      <w:pPr>
        <w:pStyle w:val="BodyText"/>
      </w:pPr>
      <w:r>
        <w:rPr>
          <w:b w:val="off"/>
          <w:i w:val="off"/>
        </w:rPr>
        <w:t>Presentation period: Documents must be presented within 21 days after the date of shipment but within the validity of the credit. Partial shipments are allowed. Transhipment is allowed. Latest shipment date and expiry date are as stated on the face of this advice.</w:t>
      </w:r>
    </w:p>
    <w:p>
      <w:pPr>
        <w:pStyle w:val="BodyText"/>
      </w:pPr>
      <w:r>
        <w:rPr>
          <w:b w:val="off"/>
          <w:i w:val="off"/>
        </w:rPr>
        <w:t>Charges: All banking charges outside the issuing bank's counters are for the account of the beneficiary, unless otherwise stated. Confirmation charges, if any, are for the account of the party requesting confirmation.</w:t>
      </w:r>
    </w:p>
    <w:p>
      <w:pPr>
        <w:pStyle w:val="BodyText"/>
      </w:pPr>
      <w:r>
        <w:rPr>
          <w:b w:val="off"/>
          <w:i w:val="off"/>
        </w:rPr>
        <w:t>Discrepant documents: If documents appear on their face not to constitute a complying presentation, the issuing bank may refuse to honour or negotiate and shall give a single notice to that effect in accordance with UCP 600 Article 16.</w:t>
      </w:r>
    </w:p>
    <w:p>
      <w:pPr>
        <w:pStyle w:val="BodyText"/>
      </w:pPr>
      <w:r>
        <w:rPr>
          <w:b w:val="off"/>
          <w:i w:val="off"/>
        </w:rPr>
        <w:t>Governing law and jurisdiction: Without prejudice to UCP 600, this credit and any dispute arising out of or in connection with it shall be governed by English law, and the courts of England shall have non-exclusive jurisdiction.</w:t>
      </w:r>
    </w:p>
    <w:p>
      <w:pPr>
        <w:pStyle w:val="BodyText"/>
      </w:pPr>
      <w:r>
        <w:rPr>
          <w:b w:val="off"/>
          <w:i w:val="off"/>
        </w:rPr>
        <w:t>This advice is sent without engagement on the part of the advising bank unless and until it adds its confirmation. The issuing bank undertakes to honour a complying presentation.</w:t>
      </w:r>
    </w:p>
    <w:p>
      <w:pPr>
        <w:sectPr>
          <w:type w:val="nextPage"/>
        </w:sectPr>
      </w:pPr>
    </w:p>
    <w:p>
      <w:pPr>
        <w:jc w:val="left"/>
      </w:pPr>
      <w:r>
        <w:rPr>
          <w:b w:val="on"/>
          <w:sz w:val="24"/>
        </w:rPr>
        <w:t>Governing Law</w:t>
      </w:r>
    </w:p>
    <w:p>
      <w:pPr>
        <w:pStyle w:val="Heading2"/>
      </w:pPr>
      <w:r>
        <w:rPr>
          <w:b w:val="on"/>
          <w:i w:val="off"/>
        </w:rPr>
        <w:t xml:space="preserve">1 </w:t>
      </w:r>
      <w:r>
        <w:rPr>
          <w:b w:val="off"/>
          <w:i w:val="off"/>
        </w:rPr>
        <w:t>Governing Law and Jurisdiction</w:t>
      </w:r>
    </w:p>
    <w:p>
      <w:pPr>
        <w:pStyle w:val="ClauseBody"/>
      </w:pPr>
      <w:r>
        <w:rPr>
          <w:b w:val="off"/>
          <w:i w:val="off"/>
        </w:rPr>
        <w:t xml:space="preserve">This advice and the Credit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advice or the Credit, without prejudice to our right to commence proceedings in any other court of competent jurisdiction.</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ClauseBody"/>
      </w:pPr>
      <w:r>
        <w:rPr>
          <w:b w:val="off"/>
          <w:i w:val="off"/>
        </w:rPr>
        <w:t>This advice is issued without engagement on our part. We assume no responsibility for the authenticity, form, validity or legal effect of any document presented under the Credit.</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 — Trade Services</w:t>
      </w:r>
    </w:p>
    <w:p>
      <w:pPr>
        <w:pStyle w:val="SignatureBlock"/>
      </w:pPr>
      <w:r>
        <w:drawing>
          <wp:inline distT="0" distR="0" distB="0" distL="0">
            <wp:extent cx="609600" cy="609600"/>
            <wp:docPr id="0" name="Drawing 0" descr="SEAL-1.png"/>
            <a:graphic xmlns:a="http://schemas.openxmlformats.org/drawingml/2006/main">
              <a:graphicData uri="http://schemas.openxmlformats.org/drawingml/2006/picture">
                <pic:pic xmlns:pic="http://schemas.openxmlformats.org/drawingml/2006/picture">
                  <pic:nvPicPr>
                    <pic:cNvPr id="0" name="Picture 0" descr="SEAL-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SignatureBlock"/>
      </w:pPr>
      <w:r>
        <w:rPr>
          <w:b w:val="off"/>
          <w:i w:val="off"/>
        </w:rPr>
        <w:t>_____________________________</w:t>
      </w:r>
    </w:p>
    <w:p>
      <w:pPr>
        <w:pStyle w:val="SignatureBlock"/>
      </w:pPr>
      <w:r>
        <w:rPr>
          <w:b w:val="on"/>
          <w:i w:val="off"/>
        </w:rPr>
        <w:t>David K. Olubanjo</w:t>
      </w:r>
    </w:p>
    <w:p>
      <w:pPr>
        <w:pStyle w:val="SignatureBlock"/>
      </w:pPr>
      <w:r>
        <w:rPr>
          <w:b w:val="off"/>
          <w:i w:val="off"/>
        </w:rPr>
        <w:t>Director, Trade Finance Operations — Meridian Global Banking Corporation</w:t>
      </w:r>
    </w:p>
    <w:p>
      <w:pPr>
        <w:pStyle w:val="SignatureBlock"/>
      </w:pPr>
      <w:r>
        <w:rPr>
          <w:b w:val="off"/>
          <w:i w:val="off"/>
        </w:rPr>
        <w:t>25 Lombard Street, London EC3V 9AA, United Kingdom</w:t>
      </w:r>
    </w:p>
    <w:p>
      <w:pPr>
        <w:sectPr>
          <w:type w:val="nextPage"/>
        </w:sectPr>
      </w:pPr>
    </w:p>
    <w:p>
      <w:pPr>
        <w:jc w:val="left"/>
      </w:pPr>
      <w:r>
        <w:rPr>
          <w:b w:val="on"/>
          <w:sz w:val="24"/>
        </w:rPr>
        <w:t>Attachments</w:t>
      </w:r>
    </w:p>
    <w:p>
      <w:pPr>
        <w:pStyle w:val="Heading2"/>
      </w:pPr>
      <w:r>
        <w:rPr>
          <w:b w:val="on"/>
          <w:i w:val="off"/>
        </w:rPr>
        <w:t xml:space="preserve">1 </w:t>
      </w:r>
      <w:r>
        <w:rPr>
          <w:b w:val="off"/>
          <w:i w:val="off"/>
        </w:rPr>
        <w:t>Attachment — SWIFT MT700 Message</w:t>
      </w:r>
    </w:p>
    <w:p>
      <w:pPr>
        <w:pStyle w:val="ClauseBody"/>
      </w:pPr>
      <w:r>
        <w:rPr>
          <w:b w:val="off"/>
          <w:i w:val="off"/>
        </w:rPr>
        <w:t>A copy of the SWIFT MT700 message constituting the operative documentary credit instrument is appended for your records. In the event of any inconsistency between this advice and the MT700, the MT700 shall prevail.</w:t>
      </w:r>
    </w:p>
    <w:p>
      <w:pPr>
        <w:pStyle w:val="ClauseBody"/>
      </w:pPr>
      <w:r>
        <w:rPr>
          <w:b w:val="off"/>
          <w:i w:val="off"/>
        </w:rPr>
        <w:t>Field 27 (Sequence of Total), field 40A (Form of Documentary Credit), field 31D (Date and Place of Expiry) and field 46A (Documents Required) of the MT700 are reproduced in the body of this advice. Please examine the appended message carefully and advise us immediately of any discrepancy.</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UCP 600 / ISBP 745 — Trade Operations Centre, London</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 Trade Finance Services</w:t>
    </w:r>
  </w:p>
  <w:p>
    <w:pPr>
      <w:jc w:val="right"/>
    </w:pPr>
    <w:r>
      <w:rPr>
        <w:b w:val="on"/>
        <w:sz w:val="14"/>
        <w:color w:val="990000"/>
      </w:rPr>
      <w:t>WITHOUT ENGAGEMENT — SUBJECT TO UCP / URDG AS APPLICABLE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2026-07-20T11:01:08Z</dcterms:created>
  <dc:creator>Apache POI</dc:creator>
</cp:coreProperties>
</file>