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Private Wealth Investment Statement</w:t>
      </w:r>
    </w:p>
    <w:p>
      <w:r>
        <w:t>{{anchor:WST_PARTIES}}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{{anchor:WST_DEFINED_TERMS}}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Portfolio Summary</w:t>
      </w:r>
    </w:p>
    <w:p>
      <w:r>
        <w:t>{{anchor:WST_PORTFOLIO_SUMMARY}}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Equity Holdings</w:t>
      </w:r>
    </w:p>
    <w:p>
      <w:r>
        <w:t>{{anchor:WST_HOLDINGS_EQUITY}}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Fixed Income Holdings</w:t>
      </w:r>
    </w:p>
    <w:p>
      <w:r>
        <w:t>{{anchor:WST_HOLDINGS_FIXED_INCOME}}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Alternative Assets</w:t>
      </w:r>
    </w:p>
    <w:p>
      <w:r>
        <w:t>{{anchor:WST_HOLDINGS_ALTERNATIVES}}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Income Activity</w:t>
      </w:r>
    </w:p>
    <w:p>
      <w:r>
        <w:t>{{anchor:WST_INCOME_ACTIVITY}}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Portfolio Totals</w:t>
      </w:r>
    </w:p>
    <w:p>
      <w:r>
        <w:t>{{anchor:WST_PORTFOLIO_TOTALS}}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Disclaimers and Signature</w:t>
      </w:r>
    </w:p>
    <w:p>
      <w:r>
        <w:t>{{anchor:WST_DISCLAIMERS_SIGNATURE}}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Past performance is not indicative of future results | FCA Client Assets (CASS) | Meridian Private Wealth, 1 St James's Square, London SW1Y 4JU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Private Wealth — Investment Services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  <w:style w:type="paragraph" w:styleId="DisclaimerBody">
    <w:name w:val="DisclaimerBody"/>
    <w:qFormat/>
    <w:rPr>
      <w:sz w:val="16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2026-07-19T23:19:40Z</dcterms:created>
  <dc:creator>Apache POI</dc:creator>
</cp:coreProperties>
</file>