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— 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{{anchor:FOL_SEC_01}}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{{anchor:FOL_SEC_02}}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{{anchor:FOL_SEC_03}}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{{anchor:FOL_SEC_04}}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{{anchor:FOL_SEC_05}}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{{anchor:FOL_SEC_06}}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{{anchor:FOL_SEC_07}}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{{anchor:FOL_SEC_08}}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{{anchor:FOL_SEC_09}}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{{anchor:FOL_SEC_10}}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{{anchor:FOL_SEC_11}}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{{anchor:FOL_SEC_12}}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{{anchor:FOL_SEC_13}}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{{anchor:FOL_SEC_14}}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{{anchor:FOL_SEC_15}}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{{anchor:FOL_SEC_16}}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{{anchor:FOL_SEC_17}}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{{anchor:FOL_SEC_18}}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{{anchor:FOL_SEC_19}}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{{anchor:FOL_SEC_20}}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{{anchor:FOL_SEC_21}}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{{anchor:FOL_SEC_22}}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{{anchor:FOL_SEC_23}}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{{anchor:FOL_SEC_24}}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{{anchor:FOL_SEC_25}}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{{anchor:FOL_SEC_26}}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{{anchor:FOL_SEC_27}}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{{anchor:FOL_SEC_28}}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{{anchor:FOL_SEC_29}}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{{anchor:FOL_SEC_30}}</w:t>
      </w:r>
    </w:p>
    <w:p/>
    <w:p>
      <w:r>
        <w:rPr>
          <w:b w:val="on"/>
          <w:sz w:val="22"/>
          <w:rFonts w:ascii="Calibri" w:hAnsi="Calibri" w:cs="Calibri" w:eastAsia="Calibri"/>
        </w:rPr>
        <w:t>Schedule 1 — Facility Particulars</w:t>
      </w:r>
    </w:p>
    <w:p>
      <w:r>
        <w:t>{{anchor:FOL_SCH_01}}</w:t>
      </w:r>
    </w:p>
    <w:p/>
    <w:p>
      <w:r>
        <w:rPr>
          <w:b w:val="on"/>
          <w:sz w:val="22"/>
          <w:rFonts w:ascii="Calibri" w:hAnsi="Calibri" w:cs="Calibri" w:eastAsia="Calibri"/>
        </w:rPr>
        <w:t>Schedule 2 — Conditions Precedent</w:t>
      </w:r>
    </w:p>
    <w:p>
      <w:r>
        <w:t>{{anchor:FOL_SCH_02}}</w:t>
      </w:r>
    </w:p>
    <w:p/>
    <w:p>
      <w:r>
        <w:rPr>
          <w:b w:val="on"/>
          <w:sz w:val="22"/>
          <w:rFonts w:ascii="Calibri" w:hAnsi="Calibri" w:cs="Calibri" w:eastAsia="Calibri"/>
        </w:rPr>
        <w:t>Schedule 3 — Representations</w:t>
      </w:r>
    </w:p>
    <w:p>
      <w:r>
        <w:t>{{anchor:FOL_SCH_03}}</w:t>
      </w:r>
    </w:p>
    <w:p/>
    <w:p>
      <w:r>
        <w:rPr>
          <w:b w:val="on"/>
          <w:sz w:val="22"/>
          <w:rFonts w:ascii="Calibri" w:hAnsi="Calibri" w:cs="Calibri" w:eastAsia="Calibri"/>
        </w:rPr>
        <w:t>Schedule 4 — Form of Utilisation Request</w:t>
      </w:r>
    </w:p>
    <w:p>
      <w:r>
        <w:t>{{anchor:FOL_SCH_04}}</w:t>
      </w:r>
    </w:p>
    <w:p/>
    <w:p>
      <w:r>
        <w:rPr>
          <w:b w:val="on"/>
          <w:sz w:val="22"/>
          <w:rFonts w:ascii="Calibri" w:hAnsi="Calibri" w:cs="Calibri" w:eastAsia="Calibri"/>
        </w:rPr>
        <w:t>Schedule 5 — Fees</w:t>
      </w:r>
    </w:p>
    <w:p>
      <w:r>
        <w:t>{{anchor:FOL_SCH_05}}</w:t>
      </w:r>
    </w:p>
    <w:p/>
    <w:p>
      <w:r>
        <w:rPr>
          <w:b w:val="on"/>
          <w:sz w:val="22"/>
          <w:rFonts w:ascii="Calibri" w:hAnsi="Calibri" w:cs="Calibri" w:eastAsia="Calibri"/>
        </w:rPr>
        <w:t>Schedule 6 — Security Principles</w:t>
      </w:r>
    </w:p>
    <w:p>
      <w:r>
        <w:t>{{anchor:FOL_SCH_06}}</w:t>
      </w:r>
    </w:p>
    <w:p/>
    <w:p>
      <w:r>
        <w:rPr>
          <w:b w:val="on"/>
          <w:sz w:val="22"/>
          <w:rFonts w:ascii="Calibri" w:hAnsi="Calibri" w:cs="Calibri" w:eastAsia="Calibri"/>
        </w:rPr>
        <w:t>Execution — 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— 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2026-07-01T22:15:25Z</dcterms:created>
  <dc:creator>Apache POI</dc:creator>
</cp:coreProperties>
</file>