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{{anchor:ARR_PARTIES}}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{{anchor:ARR_DEFINED_TERMS}}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Review Summary</w:t>
      </w:r>
    </w:p>
    <w:p>
      <w:r>
        <w:t>{{anchor:ARR_REVIEW_SUMMARY}}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Pricing Adjustment</w:t>
      </w:r>
    </w:p>
    <w:p>
      <w:r>
        <w:t>{{anchor:ARR_PRICING}}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</w:t>
      </w:r>
    </w:p>
    <w:p>
      <w:r>
        <w:t>{{anchor:ARR_COVENANTS}}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Material Findings</w:t>
      </w:r>
    </w:p>
    <w:p>
      <w:r>
        <w:t>{{anchor:ARR_FINDINGS}}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Continued Availability</w:t>
      </w:r>
    </w:p>
    <w:p>
      <w:r>
        <w:t>{{anchor:ARR_CONTINUATION}}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{{anchor:ARR_GOVERNING_LAW}}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{{anchor:ARR_SIGNATURE}}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2026-07-19T19:41:59Z</dcterms:created>
  <dc:creator>Apache POI</dc:creator>
</cp:coreProperties>
</file>