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Notice of Rate Change</w:t>
      </w:r>
    </w:p>
    <w:p>
      <w:r>
        <w:t>{{anchor:RATE_CHANGE_BODY}}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Regulatory collection notice — FCA CONC principles apply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Retail Banking — Collections &amp; Recoveries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2026-07-05T01:49:49Z</dcterms:created>
  <dc:creator>Apache POI</dc:creator>
</cp:coreProperties>
</file>