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Credit Facility Confirmation</w:t>
      </w:r>
    </w:p>
    <w:p>
      <w:r>
        <w:t>{{anchor:CL_PARTIES}}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{{anchor:CL_DEFINED_TERMS}}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Facility Terms</w:t>
      </w:r>
    </w:p>
    <w:p>
      <w:r>
        <w:t>{{anchor:CL_FACILITY}}</w:t>
      </w:r>
    </w:p>
    <w:p>
      <w:r>
        <w:t>{{anchor:CL_INTEREST}}</w:t>
      </w:r>
    </w:p>
    <w:p>
      <w:r>
        <w:t>{{anchor:CL_COVENANTS}}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Schedules and Default</w:t>
      </w:r>
    </w:p>
    <w:p>
      <w:r>
        <w:t>{{anchor:CL_REPAYMENT}}</w:t>
      </w:r>
    </w:p>
    <w:p>
      <w:r>
        <w:t>{{anchor:CL_EOD}}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Closing Provisions</w:t>
      </w:r>
    </w:p>
    <w:p>
      <w:r>
        <w:t>{{anchor:CL_GOVERNING_LAW}}</w:t>
      </w:r>
    </w:p>
    <w:p>
      <w:r>
        <w:t>{{anchor:CL_SIGNATURE}}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2026-07-19T16:42:28Z</dcterms:created>
  <dc:creator>Apache POI</dc:creator>
</cp:coreProperties>
</file>