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rPr>
        <w:t>Annual Credit Review</w:t>
      </w:r>
    </w:p>
    <w:p>
      <w:pPr>
        <w:pStyle w:val="ClauseBody"/>
      </w:pPr>
      <w:r>
        <w:rPr>
          <w:b w:val="off"/>
          <w:i w:val="off"/>
        </w:rPr>
        <w:t xml:space="preserve">Date: </w:t>
      </w:r>
      <w:r>
        <w:rPr>
          <w:b w:val="off"/>
          <w:i w:val="off"/>
        </w:rPr>
        <w:t>2026-07-06</w:t>
      </w:r>
    </w:p>
    <w:p>
      <w:pPr>
        <w:pStyle w:val="ClauseBody"/>
      </w:pPr>
      <w:r>
        <w:rPr>
          <w:b w:val="off"/>
          <w:i w:val="off"/>
        </w:rPr>
        <w:t xml:space="preserve">Our ref: </w:t>
      </w:r>
      <w:r>
        <w:rPr>
          <w:b w:val="off"/>
          <w:i w:val="off"/>
        </w:rPr>
        <w:t>CORP-REL-2024-77102</w:t>
      </w:r>
    </w:p>
    <w:p>
      <w:pPr>
        <w:pStyle w:val="ClauseBody"/>
      </w:pPr>
      <w:r>
        <w:rPr>
          <w:b w:val="off"/>
          <w:i w:val="off"/>
        </w:rPr>
        <w:t xml:space="preserve">To: </w:t>
      </w:r>
      <w:r>
        <w:rPr>
          <w:b w:val="on"/>
          <w:i w:val="off"/>
        </w:rPr>
        <w:t>Harbour Logistics Holdings plc</w:t>
      </w:r>
    </w:p>
    <w:p>
      <w:pPr>
        <w:pStyle w:val="ClauseBody"/>
      </w:pPr>
      <w:r>
        <w:rPr>
          <w:b w:val="off"/>
          <w:i w:val="off"/>
        </w:rPr>
        <w:t>Pier 9, Port of Felixstowe, Suffolk IP11 3SY, United Kingdom</w:t>
      </w:r>
    </w:p>
    <w:p>
      <w:pPr>
        <w:pStyle w:val="ClauseBody"/>
      </w:pPr>
      <w:r>
        <w:rPr>
          <w:b w:val="off"/>
          <w:i w:val="off"/>
        </w:rPr>
        <w:t>Dear Sirs,</w:t>
      </w:r>
    </w:p>
    <w:p>
      <w:pPr>
        <w:pStyle w:val="ClauseBody"/>
      </w:pPr>
      <w:r>
        <w:rPr>
          <w:b w:val="off"/>
          <w:i w:val="off"/>
        </w:rPr>
        <w:t xml:space="preserve">Re: Annual Credit Review — Facility Reference </w:t>
      </w:r>
      <w:r>
        <w:rPr>
          <w:b w:val="off"/>
          <w:i w:val="off"/>
          <w:u w:val="single"/>
        </w:rPr>
        <w:t>CORP-FAC-2024-77102</w:t>
      </w:r>
    </w:p>
    <w:p>
      <w:pPr>
        <w:pStyle w:val="ClauseBody"/>
      </w:pPr>
      <w:r>
        <w:rPr>
          <w:b w:val="off"/>
          <w:i w:val="off"/>
        </w:rPr>
        <w:t xml:space="preserve">We, </w:t>
      </w:r>
      <w:r>
        <w:rPr>
          <w:b w:val="on"/>
          <w:i w:val="off"/>
        </w:rPr>
        <w:t>Meridian Global Banking Corporation</w:t>
      </w:r>
      <w:r>
        <w:rPr>
          <w:b w:val="off"/>
          <w:i w:val="off"/>
        </w:rPr>
        <w:t xml:space="preserve"> of </w:t>
      </w:r>
      <w:r>
        <w:rPr>
          <w:b w:val="off"/>
          <w:i w:val="off"/>
        </w:rPr>
        <w:t>25 Lombard Street, London EC3V 9AA, United Kingdom</w:t>
      </w:r>
      <w:r>
        <w:rPr>
          <w:b w:val="off"/>
          <w:i w:val="off"/>
        </w:rPr>
        <w:t xml:space="preserve"> (the Bank), acting through </w:t>
      </w:r>
      <w:r>
        <w:rPr>
          <w:b w:val="off"/>
          <w:i w:val="off"/>
        </w:rPr>
        <w:t>Corporate Credit — Wholesale Banking</w:t>
      </w:r>
      <w:r>
        <w:rPr>
          <w:b w:val="off"/>
          <w:i w:val="off"/>
        </w:rPr>
        <w:t xml:space="preserve">, write in connection with the annual credit review of the </w:t>
      </w:r>
      <w:r>
        <w:rPr>
          <w:b w:val="off"/>
          <w:i w:val="off"/>
        </w:rPr>
        <w:t>revolving credit facility</w:t>
      </w:r>
      <w:r>
        <w:rPr>
          <w:b w:val="off"/>
          <w:i w:val="off"/>
        </w:rPr>
        <w:t xml:space="preserve"> (the "Facility") made available to </w:t>
      </w:r>
      <w:r>
        <w:rPr>
          <w:b w:val="on"/>
          <w:i w:val="off"/>
        </w:rPr>
        <w:t>Harbour Logistics Holdings plc</w:t>
      </w:r>
      <w:r>
        <w:rPr>
          <w:b w:val="off"/>
          <w:i w:val="off"/>
        </w:rPr>
        <w:t xml:space="preserve"> (the Borrower) and members of the </w:t>
      </w:r>
      <w:r>
        <w:rPr>
          <w:b w:val="off"/>
          <w:i w:val="off"/>
        </w:rPr>
        <w:t>Harbour Logistics</w:t>
      </w:r>
      <w:r>
        <w:rPr>
          <w:b w:val="off"/>
          <w:i w:val="off"/>
        </w:rPr>
        <w:t xml:space="preserve"> group (the Group).</w:t>
      </w:r>
    </w:p>
    <w:p>
      <w:pPr>
        <w:pStyle w:val="ClauseBody"/>
      </w:pPr>
      <w:r>
        <w:rPr>
          <w:b w:val="off"/>
          <w:i w:val="off"/>
        </w:rPr>
        <w:t xml:space="preserve">The obligations of the Borrower under the Finance Documents are guaranteed by </w:t>
      </w:r>
      <w:r>
        <w:rPr>
          <w:b w:val="on"/>
          <w:i w:val="off"/>
        </w:rPr>
        <w:t>Harbour Logistics Parent Ltd</w:t>
      </w:r>
      <w:r>
        <w:rPr>
          <w:b w:val="off"/>
          <w:i w:val="off"/>
        </w:rPr>
        <w:t xml:space="preserve"> (the Guarantor).</w:t>
      </w:r>
    </w:p>
    <w:p>
      <w:pPr>
        <w:pStyle w:val="ClauseBody"/>
      </w:pPr>
      <w:r>
        <w:rPr>
          <w:b w:val="off"/>
          <w:i w:val="off"/>
        </w:rPr>
        <w:t xml:space="preserve">Your relationship manager is </w:t>
      </w:r>
      <w:r>
        <w:rPr>
          <w:b w:val="off"/>
          <w:i w:val="off"/>
        </w:rPr>
        <w:t>Sarah K. Pemberton</w:t>
      </w:r>
      <w:r>
        <w:rPr>
          <w:b w:val="off"/>
          <w:i w:val="off"/>
        </w:rPr>
        <w:t xml:space="preserve"> (tel: </w:t>
      </w:r>
      <w:r>
        <w:rPr>
          <w:b w:val="off"/>
          <w:i w:val="off"/>
        </w:rPr>
        <w:t>+44 20 7626 4102</w:t>
      </w:r>
      <w:r>
        <w:rPr>
          <w:b w:val="off"/>
          <w:i w:val="off"/>
        </w:rPr>
        <w:t xml:space="preserve">; email: </w:t>
      </w:r>
      <w:r>
        <w:rPr>
          <w:b w:val="off"/>
          <w:i w:val="off"/>
        </w:rPr>
        <w:t>sarah.pemberton@meridian-global.example</w:t>
      </w:r>
      <w:r>
        <w:rPr>
          <w:b w:val="off"/>
          <w:i w:val="off"/>
        </w:rPr>
        <w:t>).</w:t>
      </w:r>
    </w:p>
    <w:p>
      <w:pPr>
        <w:sectPr>
          <w:type w:val="nextPage"/>
          <w:pgNumType w:start="1"/>
        </w:sectPr>
      </w:pPr>
    </w:p>
    <w:p>
      <w:pPr>
        <w:jc w:val="left"/>
      </w:pPr>
      <w:r>
        <w:rPr>
          <w:b w:val="on"/>
          <w:sz w:val="24"/>
        </w:rPr>
        <w:t>Defined Terms</w:t>
      </w:r>
    </w:p>
    <w:p>
      <w:pPr>
        <w:pStyle w:val="Heading2"/>
      </w:pPr>
      <w:r>
        <w:rPr>
          <w:b w:val="on"/>
          <w:i w:val="off"/>
        </w:rPr>
        <w:t xml:space="preserve">1 </w:t>
      </w:r>
      <w:r>
        <w:rPr>
          <w:b w:val="off"/>
          <w:i w:val="off"/>
        </w:rPr>
        <w:t>Defined Terms</w:t>
      </w:r>
    </w:p>
    <w:p>
      <w:pPr>
        <w:pStyle w:val="DefinedTerm"/>
      </w:pPr>
      <w:r>
        <w:rPr>
          <w:b w:val="off"/>
          <w:i w:val="off"/>
        </w:rPr>
        <w:t>"Facility"</w:t>
      </w:r>
      <w:r>
        <w:rPr>
          <w:b w:val="off"/>
          <w:i w:val="off"/>
        </w:rPr>
        <w:t xml:space="preserve"> means the </w:t>
      </w:r>
      <w:r>
        <w:rPr>
          <w:b w:val="off"/>
          <w:i w:val="off"/>
        </w:rPr>
        <w:t>revolving credit facility</w:t>
      </w:r>
      <w:r>
        <w:rPr>
          <w:b w:val="off"/>
          <w:i w:val="off"/>
        </w:rPr>
        <w:t xml:space="preserve"> of </w:t>
      </w:r>
      <w:r>
        <w:rPr>
          <w:b w:val="on"/>
          <w:i w:val="off"/>
        </w:rPr>
        <w:t>GBP</w:t>
      </w:r>
      <w:r>
        <w:rPr>
          <w:b w:val="on"/>
          <w:i w:val="off"/>
        </w:rPr>
        <w:t xml:space="preserve"> </w:t>
      </w:r>
      <w:r>
        <w:rPr>
          <w:b w:val="on"/>
          <w:i w:val="off"/>
        </w:rPr>
        <w:t>15,000,000.00</w:t>
      </w:r>
      <w:r>
        <w:rPr>
          <w:b w:val="off"/>
          <w:i w:val="off"/>
        </w:rPr>
        <w:t xml:space="preserve"> identified by reference </w:t>
      </w:r>
      <w:r>
        <w:rPr>
          <w:b w:val="off"/>
          <w:i w:val="off"/>
          <w:u w:val="single"/>
        </w:rPr>
        <w:t>CORP-FAC-2024-77102</w:t>
      </w:r>
      <w:r>
        <w:rPr>
          <w:b w:val="off"/>
          <w:i w:val="off"/>
        </w:rPr>
        <w:t>.</w:t>
      </w:r>
    </w:p>
    <w:p>
      <w:pPr>
        <w:pStyle w:val="DefinedTerm"/>
      </w:pPr>
      <w:r>
        <w:rPr>
          <w:b w:val="off"/>
          <w:i w:val="off"/>
        </w:rPr>
        <w:t>"Review Date"</w:t>
      </w:r>
      <w:r>
        <w:rPr>
          <w:b w:val="off"/>
          <w:i w:val="off"/>
        </w:rPr>
        <w:t xml:space="preserve"> means </w:t>
      </w:r>
      <w:r>
        <w:rPr>
          <w:b w:val="off"/>
          <w:i w:val="off"/>
        </w:rPr>
        <w:t>2026-06-30</w:t>
      </w:r>
      <w:r>
        <w:rPr>
          <w:b w:val="off"/>
          <w:i w:val="off"/>
        </w:rPr>
        <w:t>, being the date as at which the annual credit review was completed.</w:t>
      </w:r>
    </w:p>
    <w:p>
      <w:pPr>
        <w:pStyle w:val="DefinedTerm"/>
      </w:pPr>
      <w:r>
        <w:rPr>
          <w:b w:val="off"/>
          <w:i w:val="off"/>
        </w:rPr>
        <w:t>"Review Period"</w:t>
      </w:r>
      <w:r>
        <w:rPr>
          <w:b w:val="off"/>
          <w:i w:val="off"/>
        </w:rPr>
        <w:t xml:space="preserve"> means the financial period </w:t>
      </w:r>
      <w:r>
        <w:rPr>
          <w:b w:val="off"/>
          <w:i w:val="off"/>
        </w:rPr>
        <w:t>year ended 31 March 2026</w:t>
      </w:r>
      <w:r>
        <w:rPr>
          <w:b w:val="off"/>
          <w:i w:val="off"/>
        </w:rPr>
        <w:t xml:space="preserve"> covered by this review.</w:t>
      </w:r>
    </w:p>
    <w:p>
      <w:pPr>
        <w:pStyle w:val="DefinedTerm"/>
      </w:pPr>
      <w:r>
        <w:rPr>
          <w:b w:val="off"/>
          <w:i w:val="off"/>
        </w:rPr>
        <w:t>"Finance Documents"</w:t>
      </w:r>
      <w:r>
        <w:rPr>
          <w:b w:val="off"/>
          <w:i w:val="off"/>
        </w:rPr>
        <w:t xml:space="preserve"> means the facility agreement, this letter, any security documents, and any other document designated as a Finance Document therein.</w:t>
      </w:r>
    </w:p>
    <w:p>
      <w:pPr>
        <w:sectPr>
          <w:type w:val="nextPage"/>
          <w:pgNumType w:start="1"/>
        </w:sectPr>
      </w:pPr>
    </w:p>
    <w:p>
      <w:pPr>
        <w:jc w:val="left"/>
      </w:pPr>
      <w:r>
        <w:rPr>
          <w:b w:val="on"/>
          <w:sz w:val="24"/>
        </w:rPr>
        <w:t>Review Summary</w:t>
      </w:r>
    </w:p>
    <w:p>
      <w:pPr>
        <w:pStyle w:val="Heading2"/>
      </w:pPr>
      <w:r>
        <w:rPr>
          <w:b w:val="on"/>
          <w:i w:val="off"/>
        </w:rPr>
        <w:t xml:space="preserve">1 </w:t>
      </w:r>
      <w:r>
        <w:rPr>
          <w:b w:val="off"/>
          <w:i w:val="off"/>
        </w:rPr>
        <w:t>Review Summary</w:t>
      </w:r>
    </w:p>
    <w:p>
      <w:pPr>
        <w:pStyle w:val="ClauseBody"/>
      </w:pPr>
      <w:r>
        <w:rPr>
          <w:b w:val="off"/>
          <w:i w:val="off"/>
        </w:rPr>
        <w:t>We have completed the annual credit review of the Facility as at the Review Date, based on the Group's audited financial statements, management accounts, compliance certificates and industry outlook for the Review Period.</w:t>
      </w:r>
    </w:p>
    <w:p>
      <w:pPr>
        <w:pStyle w:val="ClauseBody"/>
      </w:pPr>
      <w:r>
        <w:rPr>
          <w:b w:val="off"/>
          <w:i w:val="off"/>
        </w:rPr>
        <w:t xml:space="preserve">Utilisation as at the Review Date: </w:t>
      </w:r>
      <w:r>
        <w:rPr>
          <w:b w:val="on"/>
          <w:i w:val="off"/>
        </w:rPr>
        <w:t>GBP</w:t>
      </w:r>
      <w:r>
        <w:rPr>
          <w:b w:val="on"/>
          <w:i w:val="off"/>
        </w:rPr>
        <w:t xml:space="preserve"> </w:t>
      </w:r>
      <w:r>
        <w:rPr>
          <w:b w:val="on"/>
          <w:i w:val="off"/>
        </w:rPr>
        <w:t>8,450,000.00</w:t>
      </w:r>
      <w:r>
        <w:rPr>
          <w:b w:val="off"/>
          <w:i w:val="off"/>
        </w:rPr>
        <w:t xml:space="preserve"> utilised; </w:t>
      </w:r>
      <w:r>
        <w:rPr>
          <w:b w:val="on"/>
          <w:i w:val="off"/>
        </w:rPr>
        <w:t>GBP</w:t>
      </w:r>
      <w:r>
        <w:rPr>
          <w:b w:val="on"/>
          <w:i w:val="off"/>
        </w:rPr>
        <w:t xml:space="preserve"> </w:t>
      </w:r>
      <w:r>
        <w:rPr>
          <w:b w:val="on"/>
          <w:i w:val="off"/>
        </w:rPr>
        <w:t>6,550,000.00</w:t>
      </w:r>
      <w:r>
        <w:rPr>
          <w:b w:val="off"/>
          <w:i w:val="off"/>
        </w:rPr>
        <w:t xml:space="preserve"> available.</w:t>
      </w:r>
    </w:p>
    <w:p>
      <w:pPr>
        <w:pStyle w:val="ClauseBody"/>
      </w:pPr>
      <w:r>
        <w:rPr>
          <w:b w:val="off"/>
          <w:i w:val="off"/>
        </w:rPr>
        <w:t xml:space="preserve">Review outcome: </w:t>
      </w:r>
      <w:r>
        <w:rPr>
          <w:b w:val="on"/>
          <w:i w:val="off"/>
        </w:rPr>
        <w:t>Facility confirmed; all covenants compliant; pricing revised as set out below</w:t>
      </w:r>
    </w:p>
    <w:p>
      <w:pPr>
        <w:pStyle w:val="ClauseBody"/>
      </w:pPr>
      <w:r>
        <w:rPr>
          <w:b w:val="off"/>
          <w:i w:val="off"/>
        </w:rPr>
        <w:t xml:space="preserve">The next annual review is scheduled for </w:t>
      </w:r>
      <w:r>
        <w:rPr>
          <w:b w:val="off"/>
          <w:i w:val="off"/>
        </w:rPr>
        <w:t>2027-06-30</w:t>
      </w:r>
      <w:r>
        <w:rPr>
          <w:b w:val="off"/>
          <w:i w:val="off"/>
        </w:rPr>
        <w:t>, unless an interim review is triggered by a material adverse change or event of default.</w:t>
      </w:r>
    </w:p>
    <w:p>
      <w:pPr>
        <w:sectPr>
          <w:type w:val="nextPage"/>
          <w:pgNumType w:start="1"/>
        </w:sectPr>
      </w:pPr>
    </w:p>
    <w:p>
      <w:pPr>
        <w:jc w:val="left"/>
      </w:pPr>
      <w:r>
        <w:rPr>
          <w:b w:val="on"/>
          <w:sz w:val="24"/>
        </w:rPr>
        <w:t>Pricing Adjustment</w:t>
      </w:r>
    </w:p>
    <w:p>
      <w:pPr>
        <w:pStyle w:val="Heading2"/>
      </w:pPr>
      <w:r>
        <w:rPr>
          <w:b w:val="on"/>
          <w:i w:val="off"/>
        </w:rPr>
        <w:t xml:space="preserve">1 </w:t>
      </w:r>
      <w:r>
        <w:rPr>
          <w:b w:val="off"/>
          <w:i w:val="off"/>
        </w:rPr>
        <w:t>Pricing Adjustment</w:t>
      </w:r>
    </w:p>
    <w:p>
      <w:pPr>
        <w:pStyle w:val="ClauseBody"/>
      </w:pPr>
      <w:r>
        <w:rPr>
          <w:b w:val="off"/>
          <w:i w:val="off"/>
        </w:rPr>
        <w:t xml:space="preserve">The margin applicable to the Facility is set at </w:t>
      </w:r>
      <w:r>
        <w:rPr>
          <w:b w:val="on"/>
          <w:i w:val="off"/>
        </w:rPr>
        <w:t>175</w:t>
      </w:r>
      <w:r>
        <w:rPr>
          <w:b w:val="on"/>
          <w:i w:val="off"/>
        </w:rPr>
        <w:t xml:space="preserve"> bps</w:t>
      </w:r>
      <w:r>
        <w:rPr>
          <w:b w:val="off"/>
          <w:i w:val="off"/>
        </w:rPr>
        <w:t xml:space="preserve"> per annum over </w:t>
      </w:r>
      <w:r>
        <w:rPr>
          <w:b w:val="off"/>
          <w:i w:val="off"/>
        </w:rPr>
        <w:t>SONIA (compounded in arrears)</w:t>
      </w:r>
      <w:r>
        <w:rPr>
          <w:b w:val="off"/>
          <w:i w:val="off"/>
        </w:rPr>
        <w:t>, calculated on the basis of actual days elapsed and a 365-day year (or 366 days in a leap year).</w:t>
      </w:r>
    </w:p>
    <w:p>
      <w:pPr>
        <w:pStyle w:val="ClauseBody"/>
      </w:pPr>
      <w:r>
        <w:rPr>
          <w:b w:val="off"/>
          <w:i w:val="off"/>
        </w:rPr>
        <w:t xml:space="preserve">The revised margin takes effect from </w:t>
      </w:r>
      <w:r>
        <w:rPr>
          <w:b w:val="off"/>
          <w:i w:val="off"/>
        </w:rPr>
        <w:t>2026-07-01</w:t>
      </w:r>
      <w:r>
        <w:rPr>
          <w:b w:val="off"/>
          <w:i w:val="off"/>
        </w:rPr>
        <w:t xml:space="preserve"> and applies to all outstanding and future utilisations until the next review date, subject to continued compliance with the terms of the facility agreement.</w:t>
      </w:r>
    </w:p>
    <w:p>
      <w:pPr>
        <w:sectPr>
          <w:type w:val="nextPage"/>
          <w:pgNumType w:start="1"/>
        </w:sectPr>
      </w:pPr>
    </w:p>
    <w:p>
      <w:pPr>
        <w:jc w:val="left"/>
      </w:pPr>
      <w:r>
        <w:rPr>
          <w:b w:val="on"/>
          <w:sz w:val="24"/>
        </w:rPr>
        <w:t>Covenant Compliance</w:t>
      </w:r>
    </w:p>
    <w:p>
      <w:pPr>
        <w:pStyle w:val="Heading2"/>
      </w:pPr>
      <w:r>
        <w:rPr>
          <w:b w:val="on"/>
          <w:i w:val="off"/>
        </w:rPr>
        <w:t xml:space="preserve">1 </w:t>
      </w:r>
      <w:r>
        <w:rPr>
          <w:b w:val="off"/>
          <w:i w:val="off"/>
        </w:rPr>
        <w:t>Financial Covenants and Compliance</w:t>
      </w:r>
    </w:p>
    <w:p>
      <w:pPr>
        <w:pStyle w:val="ClauseBody"/>
      </w:pPr>
      <w:r>
        <w:rPr>
          <w:b w:val="off"/>
          <w:i w:val="off"/>
        </w:rPr>
        <w:t>The following financial covenants were tested as at the Review Date based on the most recent audited financial statements and management accounts of the Group:</w:t>
      </w:r>
    </w:p>
    <w:p>
      <w:pPr>
        <w:pStyle w:val="BodyText"/>
      </w:pPr>
      <w:r>
        <w:rPr>
          <w:b w:val="off"/>
          <w:i w:val="off"/>
        </w:rPr>
        <w:t>Reporting: The Borrower shall deliver to the Bank (i) audited annual consolidated financial statements within 120 days of each financial year end; (ii) unaudited quarterly management accounts within 45 days of each Financial Quarter end; and (iii) a Compliance Certificate signed by two directors or authorised signatories confirming compliance with the financial covenants, within 30 days of each Financial Quarter end.</w:t>
      </w:r>
    </w:p>
    <w:p>
      <w:pPr>
        <w:pStyle w:val="BodyText"/>
      </w:pPr>
      <w:r>
        <w:rPr>
          <w:b w:val="off"/>
          <w:i w:val="off"/>
        </w:rPr>
        <w:t>Equity Cure: Where a breach of any financial covenant occurs, the Borrower may, with the consent of the Bank, cure such breach by an equity injection, provided that no more than two equity cures may be applied in any rolling four-quarter period and the cured compliance is recalculated in accordance with the facility agreement.</w:t>
      </w:r>
    </w:p>
    <w:p>
      <w:pPr>
        <w:pStyle w:val="BodyText"/>
      </w:pPr>
      <w:r>
        <w:rPr>
          <w:b w:val="off"/>
          <w:i w:val="off"/>
        </w:rPr>
        <w:t>General undertakings: The Borrower shall (a) maintain its corporate existence and obtain all authorisations necessary for its business; (b) comply with all applicable laws including anti-bribery, sanctions and anti-money-laundering regulations; (c) not dispose of any material assets outside the ordinary course of business without prior Bank consent; and (d) maintain insurance on its assets with reputable insurers.</w:t>
      </w:r>
    </w:p>
    <w:p>
      <w:pPr>
        <w:pStyle w:val="BodyText"/>
      </w:pPr>
      <w:r>
        <w:rPr>
          <w:b w:val="off"/>
          <w:i w:val="off"/>
        </w:rPr>
        <w:t>Material events: The Borrower shall notify the Bank promptly (and in any event within five Business Days) of any litigation, claim or proceedings exceeding the materiality threshold, any change of control, any breach of covenant or representation, any Event of Default or any event which would reasonably be expected to have a Material Adverse Effect.</w:t>
      </w:r>
    </w:p>
    <w:p>
      <w:r>
        <w:rPr>
          <w:b w:val="on"/>
          <w:i w:val="off"/>
        </w:rPr>
        <w:t>Leverage ratio</w:t>
      </w:r>
      <w:r>
        <w:rPr>
          <w:b w:val="off"/>
          <w:i w:val="off"/>
        </w:rPr>
        <w:t xml:space="preserve">: </w:t>
      </w:r>
      <w:r>
        <w:rPr>
          <w:b w:val="off"/>
          <w:i w:val="off"/>
        </w:rPr>
        <w:t>Compliant</w:t>
      </w:r>
    </w:p>
    <w:p>
      <w:r>
        <w:rPr>
          <w:b w:val="on"/>
          <w:i w:val="off"/>
        </w:rPr>
        <w:t>Interest cover</w:t>
      </w:r>
      <w:r>
        <w:rPr>
          <w:b w:val="off"/>
          <w:i w:val="off"/>
        </w:rPr>
        <w:t xml:space="preserve">: </w:t>
      </w:r>
      <w:r>
        <w:rPr>
          <w:b w:val="off"/>
          <w:i w:val="off"/>
        </w:rPr>
        <w:t>Compliant</w:t>
      </w:r>
    </w:p>
    <w:p>
      <w:r>
        <w:rPr>
          <w:b w:val="on"/>
          <w:i w:val="off"/>
        </w:rPr>
        <w:t>Tangible net worth</w:t>
      </w:r>
      <w:r>
        <w:rPr>
          <w:b w:val="off"/>
          <w:i w:val="off"/>
        </w:rPr>
        <w:t xml:space="preserve">: </w:t>
      </w:r>
      <w:r>
        <w:rPr>
          <w:b w:val="off"/>
          <w:i w:val="off"/>
        </w:rPr>
        <w:t>Compliant</w:t>
      </w:r>
    </w:p>
    <w:p>
      <w:r>
        <w:rPr>
          <w:b w:val="on"/>
          <w:i w:val="off"/>
        </w:rPr>
        <w:t>Minimum liquidity</w:t>
      </w:r>
      <w:r>
        <w:rPr>
          <w:b w:val="off"/>
          <w:i w:val="off"/>
        </w:rPr>
        <w:t xml:space="preserve">: </w:t>
      </w:r>
      <w:r>
        <w:rPr>
          <w:b w:val="off"/>
          <w:i w:val="off"/>
        </w:rPr>
        <w:t>Compliant</w:t>
      </w:r>
    </w:p>
    <w:p/>
    <w:p>
      <w:pPr>
        <w:pStyle w:val="ScheduleTitle"/>
      </w:pPr>
      <w:r>
        <w:rPr>
          <w:b w:val="off"/>
          <w:i w:val="off"/>
        </w:rPr>
        <w:t>Schedule 1 — Covenant Compliance Summary</w:t>
      </w:r>
    </w:p>
    <w:p>
      <w:pPr>
        <w:sectPr>
          <w:type w:val="nextPage"/>
          <w:pgNumType w:start="1"/>
        </w:sectPr>
      </w:pPr>
    </w:p>
    <w:p>
      <w:pPr>
        <w:jc w:val="left"/>
      </w:pPr>
      <w:r>
        <w:rPr>
          <w:b w:val="on"/>
          <w:sz w:val="24"/>
        </w:rPr>
        <w:t>Material Findings</w:t>
      </w:r>
    </w:p>
    <w:p>
      <w:pPr>
        <w:pStyle w:val="Heading2"/>
      </w:pPr>
      <w:r>
        <w:rPr>
          <w:b w:val="on"/>
          <w:i w:val="off"/>
        </w:rPr>
        <w:t xml:space="preserve">1 </w:t>
      </w:r>
      <w:r>
        <w:rPr>
          <w:b w:val="off"/>
          <w:i w:val="off"/>
        </w:rPr>
        <w:t>Material Findings</w:t>
      </w:r>
    </w:p>
    <w:p>
      <w:pPr>
        <w:pStyle w:val="ClauseBody"/>
      </w:pPr>
      <w:r>
        <w:rPr>
          <w:b w:val="off"/>
          <w:i w:val="off"/>
        </w:rPr>
        <w:t xml:space="preserve">Material findings arising from the review: </w:t>
      </w:r>
      <w:r>
        <w:rPr>
          <w:b w:val="off"/>
          <w:i w:val="off"/>
        </w:rPr>
        <w:t>No material findings. The Borrower remains in compliance with all financial covenants. The Group's audited financial statements for the year ended 31 March 2026 show a strengthening of the leverage position and stable interest cover.</w:t>
      </w:r>
    </w:p>
    <w:p>
      <w:pPr>
        <w:pStyle w:val="ClauseBody"/>
      </w:pPr>
      <w:r>
        <w:rPr>
          <w:b w:val="off"/>
          <w:i w:val="off"/>
        </w:rPr>
        <w:t>Save as disclosed above, no breaches, defaults or material adverse changes were identified during the Review Period.</w:t>
      </w:r>
    </w:p>
    <w:p>
      <w:pPr>
        <w:sectPr>
          <w:type w:val="nextPage"/>
          <w:pgNumType w:start="1"/>
        </w:sectPr>
      </w:pPr>
    </w:p>
    <w:p>
      <w:pPr>
        <w:jc w:val="left"/>
      </w:pPr>
      <w:r>
        <w:rPr>
          <w:b w:val="on"/>
          <w:sz w:val="24"/>
        </w:rPr>
        <w:t>Continued Availability</w:t>
      </w:r>
    </w:p>
    <w:p>
      <w:pPr>
        <w:pStyle w:val="Heading2"/>
      </w:pPr>
      <w:r>
        <w:rPr>
          <w:b w:val="on"/>
          <w:i w:val="off"/>
        </w:rPr>
        <w:t xml:space="preserve">1 </w:t>
      </w:r>
      <w:r>
        <w:rPr>
          <w:b w:val="off"/>
          <w:i w:val="off"/>
        </w:rPr>
        <w:t>Continued Availability</w:t>
      </w:r>
    </w:p>
    <w:p>
      <w:pPr>
        <w:pStyle w:val="BodyText"/>
      </w:pPr>
      <w:r>
        <w:rPr>
          <w:b w:val="off"/>
          <w:i w:val="off"/>
        </w:rPr>
        <w:t>Based on our review of your latest audited financial statements, management accounts, compliance certificates and industry outlook, we confirm that the Facility remains available subject to continued compliance with the financial covenants, representations and undertakings set out in the facility agreement.</w:t>
      </w:r>
    </w:p>
    <w:p>
      <w:pPr>
        <w:pStyle w:val="BodyText"/>
      </w:pPr>
      <w:r>
        <w:rPr>
          <w:b w:val="off"/>
          <w:i w:val="off"/>
        </w:rPr>
        <w:t>Our review considered the financial performance and position of the Group, the quality and sufficiency of security, the conduct of the account, compliance with all covenants (financial and general), and any material events notified to us during the review period. Save as disclosed in the Material Findings section, no breaches, defaults or material adverse changes were identified.</w:t>
      </w:r>
    </w:p>
    <w:p>
      <w:pPr>
        <w:pStyle w:val="BodyText"/>
      </w:pPr>
      <w:r>
        <w:rPr>
          <w:b w:val="off"/>
          <w:i w:val="off"/>
        </w:rPr>
        <w:t>Pricing adjustment: The margin has been set in accordance with the pricing grid set out in Schedule 1 of the facility agreement, based on the leverage ratio as at the review date. The revised margin takes effect from the renewal date and applies to all outstanding and future utilisations until the next review date.</w:t>
      </w:r>
    </w:p>
    <w:p>
      <w:pPr>
        <w:pStyle w:val="BodyText"/>
      </w:pPr>
      <w:r>
        <w:rPr>
          <w:b w:val="off"/>
          <w:i w:val="off"/>
        </w:rPr>
        <w:t>Continued availability: Availability under the Facility is confirmed for the renewed term, subject to the conditions precedent having been satisfied and the representations being true and correct on each utilisation date. The Bank reserves the right to review the Facility at any time upon the occurrence of a material adverse change or any event of default.</w:t>
      </w:r>
    </w:p>
    <w:p>
      <w:pPr>
        <w:pStyle w:val="BodyText"/>
      </w:pPr>
      <w:r>
        <w:rPr>
          <w:b w:val="off"/>
          <w:i w:val="off"/>
        </w:rPr>
        <w:t>Your relationship manager will contact you to discuss any pricing or structural adjustments, and to arrange delivery of the renewed facility documentation, ahead of the next review cycle.</w:t>
      </w:r>
    </w:p>
    <w:p>
      <w:pPr>
        <w:sectPr>
          <w:type w:val="nextPage"/>
          <w:pgNumType w:start="1"/>
        </w:sectPr>
      </w:pPr>
    </w:p>
    <w:p>
      <w:pPr>
        <w:jc w:val="left"/>
      </w:pPr>
      <w:r>
        <w:rPr>
          <w:b w:val="on"/>
          <w:sz w:val="24"/>
        </w:rPr>
        <w:t>Governing Law</w:t>
      </w:r>
    </w:p>
    <w:p>
      <w:pPr>
        <w:pStyle w:val="Heading2"/>
      </w:pPr>
      <w:r>
        <w:rPr>
          <w:b w:val="on"/>
          <w:i w:val="off"/>
        </w:rPr>
        <w:t xml:space="preserve">1 </w:t>
      </w:r>
      <w:r>
        <w:rPr>
          <w:b w:val="off"/>
          <w:i w:val="off"/>
        </w:rPr>
        <w:t>Governing Law</w:t>
      </w:r>
    </w:p>
    <w:p>
      <w:pPr>
        <w:pStyle w:val="ClauseBody"/>
      </w:pPr>
      <w:r>
        <w:rPr>
          <w:b w:val="off"/>
          <w:i w:val="off"/>
        </w:rPr>
        <w:t xml:space="preserve">This letter and any non-contractual obligations arising out of or in connection with it are governed by, and construed in accordance with, </w:t>
      </w:r>
      <w:r>
        <w:rPr>
          <w:b w:val="on"/>
          <w:i w:val="off"/>
        </w:rPr>
        <w:t>the laws of England and Wales</w:t>
      </w:r>
      <w:r>
        <w:rPr>
          <w:b w:val="off"/>
          <w:i w:val="off"/>
        </w:rPr>
        <w:t>.</w:t>
      </w:r>
    </w:p>
    <w:p>
      <w:pPr>
        <w:sectPr>
          <w:type w:val="nextPage"/>
          <w:pgNumType w:start="1"/>
        </w:sectPr>
      </w:pPr>
    </w:p>
    <w:p>
      <w:pPr>
        <w:jc w:val="left"/>
      </w:pPr>
      <w:r>
        <w:rPr>
          <w:b w:val="on"/>
          <w:sz w:val="24"/>
        </w:rPr>
        <w:t>Authorised Signatory</w:t>
      </w:r>
    </w:p>
    <w:p>
      <w:pPr>
        <w:pStyle w:val="ClauseBody"/>
      </w:pPr>
      <w:r>
        <w:rPr>
          <w:b w:val="off"/>
          <w:i w:val="off"/>
        </w:rPr>
        <w:t xml:space="preserve">For and on behalf of </w:t>
      </w:r>
      <w:r>
        <w:rPr>
          <w:b w:val="off"/>
          <w:i w:val="off"/>
        </w:rPr>
        <w:t>Meridian Global Banking Corporation</w:t>
      </w:r>
      <w:r>
        <w:rPr>
          <w:b w:val="off"/>
          <w:i w:val="off"/>
        </w:rPr>
        <w:t>:</w:t>
      </w:r>
    </w:p>
    <w:p>
      <w:pPr>
        <w:pStyle w:val="SignatureBlock"/>
      </w:pPr>
      <w:r>
        <w:rPr>
          <w:b w:val="off"/>
          <w:i w:val="off"/>
        </w:rPr>
        <w:t>_____________________________</w:t>
      </w:r>
    </w:p>
    <w:p>
      <w:pPr>
        <w:pStyle w:val="SignatureBlock"/>
      </w:pPr>
      <w:r>
        <w:rPr>
          <w:b w:val="on"/>
          <w:i w:val="off"/>
        </w:rPr>
        <w:t>Jonathan A. Whitmore</w:t>
      </w:r>
    </w:p>
    <w:p>
      <w:pPr>
        <w:pStyle w:val="SignatureBlock"/>
      </w:pPr>
      <w:r>
        <w:rPr>
          <w:b w:val="off"/>
          <w:i w:val="off"/>
        </w:rPr>
        <w:t>Director, Corporate Credit — Wholesale Banking</w:t>
      </w:r>
    </w:p>
    <w:p>
      <w:pPr>
        <w:pStyle w:val="SignatureBlock"/>
      </w:pPr>
      <w:r>
        <w:rPr>
          <w:b w:val="off"/>
          <w:i w:val="off"/>
        </w:rPr>
        <w:t>25 Lombard Street, London EC3V 9AA, United Kingdom</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25 Lombard Street, London EC3V 9AA  |  www.meridian-global.example  |  Regulated by the PRA &amp; FCA</w:t>
    </w:r>
  </w:p>
  <w:p>
    <w:pPr>
      <w:jc w:val="center"/>
    </w:pPr>
    <w:r>
      <w:rPr>
        <w:sz w:val="16"/>
        <w:rFonts w:ascii="Calibri" w:hAnsi="Calibri" w:cs="Calibri" w:eastAsia="Calibri"/>
      </w:rPr>
      <w:t xml:space="preserve">Section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SECTIONPAGES \* MERGEFORMAT </w:instrText>
    </w:r>
    <w:r>
      <w:fldChar w:fldCharType="separate"/>
    </w:r>
    <w:r>
      <w:t>1</w:t>
    </w:r>
    <w:r>
      <w:fldChar w:fldCharType="end"/>
    </w:r>
    <w:r>
      <w:rPr>
        <w:sz w:val="16"/>
        <w:rFonts w:ascii="Calibri" w:hAnsi="Calibri" w:cs="Calibri" w:eastAsia="Calibri"/>
      </w:rPr>
      <w:t xml:space="preserve">  |  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Global Banking Corporation — Corporate Credit</w:t>
    </w:r>
  </w:p>
  <w:p>
    <w:pPr>
      <w:jc w:val="right"/>
    </w:pPr>
    <w:r>
      <w:rPr>
        <w:b w:val="on"/>
        <w:sz w:val="14"/>
        <w:color w:val="990000"/>
      </w:rPr>
      <w:t>STRICTLY PRIVATE AND CONFIDENTIAL</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2026-07-20T10:06:23Z</dcterms:created>
  <dc:creator>Apache POI</dc:creator>
</cp:coreProperties>
</file>