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Credit Facility Confirmation</w:t>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Northgate Manufacturing Ltd.</w:t>
      </w:r>
    </w:p>
    <w:p>
      <w:pPr>
        <w:pStyle w:val="ClauseBody"/>
      </w:pPr>
      <w:r>
        <w:rPr>
          <w:b w:val="off"/>
          <w:i w:val="off"/>
        </w:rPr>
        <w:t>Unit 7, Trident Industrial Park, Leeds LS10 1TT</w:t>
      </w:r>
    </w:p>
    <w:p>
      <w:pPr>
        <w:pStyle w:val="ClauseBody"/>
      </w:pPr>
      <w:r>
        <w:rPr>
          <w:b w:val="off"/>
          <w:i w:val="off"/>
        </w:rPr>
        <w:t>United Kingdom</w:t>
      </w:r>
    </w:p>
    <w:p>
      <w:pPr>
        <w:pStyle w:val="ClauseBody"/>
      </w:pPr>
      <w:r>
        <w:rPr>
          <w:b w:val="off"/>
          <w:i w:val="off"/>
        </w:rPr>
        <w:t>Dear Sirs,</w:t>
      </w:r>
    </w:p>
    <w:p>
      <w:pPr>
        <w:pStyle w:val="ClauseBody"/>
      </w:pPr>
      <w:r>
        <w:rPr>
          <w:b w:val="off"/>
          <w:i w:val="off"/>
        </w:rPr>
        <w:t xml:space="preserve">Re: Credit Facility Confirmation — Facility Reference </w:t>
      </w:r>
      <w:r>
        <w:rPr>
          <w:b w:val="off"/>
          <w:i w:val="off"/>
          <w:u w:val="single"/>
        </w:rPr>
        <w:t>CORP-CL-2026-88421</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acting through </w:t>
      </w:r>
      <w:r>
        <w:rPr>
          <w:b w:val="off"/>
          <w:i w:val="off"/>
        </w:rPr>
        <w:t>Wholesale Banking — Corporate Credit</w:t>
      </w:r>
      <w:r>
        <w:rPr>
          <w:b w:val="off"/>
          <w:i w:val="off"/>
        </w:rPr>
        <w:t xml:space="preserve">, are pleased to confirm the credit facilities made available to </w:t>
      </w:r>
      <w:r>
        <w:rPr>
          <w:b w:val="on"/>
          <w:i w:val="off"/>
        </w:rPr>
        <w:t>Northgate Manufacturing Ltd.</w:t>
      </w:r>
      <w:r>
        <w:rPr>
          <w:b w:val="off"/>
          <w:i w:val="off"/>
        </w:rPr>
        <w:t xml:space="preserve"> (the Borrower), with effect from the date of this letter (the Sanction Date).</w:t>
      </w:r>
    </w:p>
    <w:p>
      <w:pPr>
        <w:pStyle w:val="ClauseBody"/>
      </w:pPr>
      <w:r>
        <w:rPr>
          <w:b w:val="off"/>
          <w:i w:val="off"/>
        </w:rPr>
        <w:t xml:space="preserve">The obligations of the Borrower under the Finance Documents are guaranteed by </w:t>
      </w:r>
      <w:r>
        <w:rPr>
          <w:b w:val="on"/>
          <w:i w:val="off"/>
        </w:rPr>
        <w:t>Northgate Holdings plc</w:t>
      </w:r>
      <w:r>
        <w:rPr>
          <w:b w:val="off"/>
          <w:i w:val="off"/>
        </w:rPr>
        <w:t xml:space="preserve"> (the Guarantor) pursuant to a guarantee and indemnity to be entered into on or before the first utilisation date.</w:t>
      </w:r>
    </w:p>
    <w:p>
      <w:pPr>
        <w:pStyle w:val="ClauseBody"/>
      </w:pPr>
      <w:r>
        <w:rPr>
          <w:b w:val="off"/>
          <w:i w:val="off"/>
        </w:rPr>
        <w:t>This letter constitutes a Finance Document and sets out the principal commercial terms of the Facility. Capitalised terms used but not defined herein have the meanings given to them in the facility agreement.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"Agent"</w:t>
      </w:r>
      <w:r>
        <w:rPr>
          <w:b w:val="off"/>
          <w:i w:val="off"/>
        </w:rPr>
        <w:t xml:space="preserve"> means the Bank in its capacity as agent for the Lenders.</w:t>
      </w:r>
    </w:p>
    <w:p>
      <w:pPr>
        <w:pStyle w:val="DefinedTerm"/>
      </w:pPr>
      <w:r>
        <w:rPr>
          <w:b w:val="off"/>
          <w:i w:val="off"/>
        </w:rPr>
        <w:t>"Availability Period"</w:t>
      </w:r>
      <w:r>
        <w:rPr>
          <w:b w:val="off"/>
          <w:i w:val="off"/>
        </w:rPr>
        <w:t xml:space="preserve"> means the period from the Sanction Date to </w:t>
      </w:r>
      <w:r>
        <w:rPr>
          <w:b w:val="off"/>
          <w:i w:val="off"/>
        </w:rPr>
        <w:t>2027-07-07</w:t>
      </w:r>
      <w:r>
        <w:rPr>
          <w:b w:val="off"/>
          <w:i w:val="off"/>
        </w:rPr>
        <w:t xml:space="preserve">, being </w:t>
      </w:r>
      <w:r>
        <w:rPr>
          <w:b w:val="off"/>
          <w:i w:val="off"/>
        </w:rPr>
        <w:t>364 days</w:t>
      </w:r>
      <w:r>
        <w:rPr>
          <w:b w:val="off"/>
          <w:i w:val="off"/>
        </w:rPr>
        <w:t xml:space="preserve"> from the date of this letter.</w:t>
      </w:r>
    </w:p>
    <w:p>
      <w:pPr>
        <w:pStyle w:val="DefinedTerm"/>
      </w:pPr>
      <w:r>
        <w:rPr>
          <w:b w:val="off"/>
          <w:i w:val="off"/>
        </w:rPr>
        <w:t>"Commitment"</w:t>
      </w:r>
      <w:r>
        <w:rPr>
          <w:b w:val="off"/>
          <w:i w:val="off"/>
        </w:rPr>
        <w:t xml:space="preserve"> means the aggregate revolving credit commitment of </w:t>
      </w:r>
      <w:r>
        <w:rPr>
          <w:b w:val="on"/>
          <w:i w:val="off"/>
        </w:rPr>
        <w:t>GBP</w:t>
      </w:r>
      <w:r>
        <w:rPr>
          <w:b w:val="on"/>
          <w:i w:val="off"/>
        </w:rPr>
        <w:t xml:space="preserve"> </w:t>
      </w:r>
      <w:r>
        <w:rPr>
          <w:b w:val="on"/>
          <w:i w:val="off"/>
        </w:rPr>
        <w:t>12,500,000.00</w:t>
      </w:r>
      <w:r>
        <w:rPr>
          <w:b w:val="off"/>
          <w:i w:val="off"/>
        </w:rPr>
        <w:t xml:space="preserve"> made available to the Borrower under the Facility.</w:t>
      </w:r>
    </w:p>
    <w:p>
      <w:pPr>
        <w:pStyle w:val="DefinedTerm"/>
      </w:pPr>
      <w:r>
        <w:rPr>
          <w:b w:val="off"/>
          <w:i w:val="off"/>
        </w:rPr>
        <w:t>"Facility"</w:t>
      </w:r>
      <w:r>
        <w:rPr>
          <w:b w:val="off"/>
          <w:i w:val="off"/>
        </w:rPr>
        <w:t xml:space="preserve"> means the </w:t>
      </w:r>
      <w:r>
        <w:rPr>
          <w:b w:val="off"/>
          <w:i w:val="off"/>
        </w:rPr>
        <w:t>Revolving Credit Facility</w:t>
      </w:r>
      <w:r>
        <w:rPr>
          <w:b w:val="off"/>
          <w:i w:val="off"/>
        </w:rPr>
        <w:t xml:space="preserve"> identified by reference </w:t>
      </w:r>
      <w:r>
        <w:rPr>
          <w:b w:val="off"/>
          <w:i w:val="off"/>
          <w:u w:val="single"/>
        </w:rPr>
        <w:t>CORP-CL-2026-88421</w:t>
      </w:r>
      <w:r>
        <w:rPr>
          <w:b w:val="off"/>
          <w:i w:val="off"/>
        </w:rPr>
        <w:t>.</w:t>
      </w:r>
    </w:p>
    <w:p>
      <w:pPr>
        <w:pStyle w:val="DefinedTerm"/>
      </w:pPr>
      <w:r>
        <w:rPr>
          <w:b w:val="off"/>
          <w:i w:val="off"/>
        </w:rPr>
        <w:t>"Finance Documents"</w:t>
      </w:r>
      <w:r>
        <w:rPr>
          <w:b w:val="off"/>
          <w:i w:val="off"/>
        </w:rPr>
        <w:t xml:space="preserve"> means this letter, the facility agreement, any security documents, and any other document designated as a Finance Document therein.</w:t>
      </w:r>
    </w:p>
    <w:p>
      <w:pPr>
        <w:pStyle w:val="DefinedTerm"/>
      </w:pPr>
      <w:r>
        <w:rPr>
          <w:b w:val="off"/>
          <w:i w:val="off"/>
        </w:rPr>
        <w:t>"Margin"</w:t>
      </w:r>
      <w:r>
        <w:rPr>
          <w:b w:val="off"/>
          <w:i w:val="off"/>
        </w:rPr>
        <w:t xml:space="preserve"> means </w:t>
      </w:r>
      <w:r>
        <w:rPr>
          <w:b w:val="off"/>
          <w:i w:val="off"/>
        </w:rPr>
        <w:t>165</w:t>
      </w:r>
      <w:r>
        <w:rPr>
          <w:b w:val="off"/>
          <w:i w:val="off"/>
        </w:rPr>
        <w:t xml:space="preserve"> basis points per annum above the Reference Rate.</w:t>
      </w:r>
    </w:p>
    <w:p>
      <w:pPr>
        <w:pStyle w:val="DefinedTerm"/>
      </w:pPr>
      <w:r>
        <w:rPr>
          <w:b w:val="off"/>
          <w:i w:val="off"/>
        </w:rPr>
        <w:t>"Reference Rate"</w:t>
      </w:r>
      <w:r>
        <w:rPr>
          <w:b w:val="off"/>
          <w:i w:val="off"/>
        </w:rPr>
        <w:t xml:space="preserve"> means </w:t>
      </w:r>
      <w:r>
        <w:rPr>
          <w:b w:val="off"/>
          <w:i w:val="off"/>
        </w:rPr>
        <w:t>SONIA (compounded in arrears)</w:t>
      </w:r>
      <w:r>
        <w:rPr>
          <w:b w:val="off"/>
          <w:i w:val="off"/>
        </w:rPr>
        <w:t>, as published or compounded in accordance with the facility agreement.</w:t>
      </w:r>
    </w:p>
    <w:p>
      <w:pPr>
        <w:sectPr>
          <w:type w:val="nextPage"/>
          <w:pgNumType w:start="1"/>
        </w:sectPr>
      </w:pPr>
    </w:p>
    <w:p>
      <w:pPr>
        <w:jc w:val="left"/>
      </w:pPr>
      <w:r>
        <w:rPr>
          <w:b w:val="on"/>
          <w:sz w:val="24"/>
        </w:rPr>
        <w:t>Facility Terms</w:t>
      </w:r>
    </w:p>
    <w:p>
      <w:pPr>
        <w:pStyle w:val="Heading2"/>
      </w:pPr>
      <w:r>
        <w:rPr>
          <w:b w:val="on"/>
          <w:i w:val="off"/>
        </w:rPr>
        <w:t xml:space="preserve">1 </w:t>
      </w:r>
      <w:r>
        <w:rPr>
          <w:b w:val="off"/>
          <w:i w:val="off"/>
        </w:rPr>
        <w:t>Facility Particulars</w:t>
      </w:r>
    </w:p>
    <w:p>
      <w:pPr>
        <w:pStyle w:val="ClauseBody"/>
      </w:pPr>
      <w:r>
        <w:rPr>
          <w:b w:val="off"/>
          <w:i w:val="off"/>
        </w:rPr>
        <w:t xml:space="preserve">The Bank agrees to make available to the Borrower a </w:t>
      </w:r>
      <w:r>
        <w:rPr>
          <w:b w:val="off"/>
          <w:i w:val="off"/>
        </w:rPr>
        <w:t>Revolving Credit Facility</w:t>
      </w:r>
      <w:r>
        <w:rPr>
          <w:b w:val="off"/>
          <w:i w:val="off"/>
        </w:rPr>
        <w:t xml:space="preserve"> in an aggregate principal amount not exceeding </w:t>
      </w:r>
      <w:r>
        <w:rPr>
          <w:b w:val="on"/>
          <w:i w:val="off"/>
        </w:rPr>
        <w:t>GBP</w:t>
      </w:r>
      <w:r>
        <w:rPr>
          <w:b w:val="on"/>
          <w:i w:val="off"/>
        </w:rPr>
        <w:t xml:space="preserve"> </w:t>
      </w:r>
      <w:r>
        <w:rPr>
          <w:b w:val="on"/>
          <w:i w:val="off"/>
        </w:rPr>
        <w:t>12,500,000.00</w:t>
      </w:r>
      <w:r>
        <w:rPr>
          <w:b w:val="off"/>
          <w:i w:val="off"/>
        </w:rPr>
        <w:t xml:space="preserve"> (the Commitment), subject to the terms and conditions set out in the Finance Documents.</w:t>
      </w:r>
    </w:p>
    <w:p>
      <w:pPr>
        <w:pStyle w:val="ClauseBody"/>
      </w:pPr>
      <w:r>
        <w:rPr>
          <w:b w:val="off"/>
          <w:i w:val="off"/>
        </w:rPr>
        <w:t xml:space="preserve">Facility Reference: </w:t>
      </w:r>
      <w:r>
        <w:rPr>
          <w:b w:val="off"/>
          <w:i w:val="off"/>
          <w:u w:val="single"/>
        </w:rPr>
        <w:t>CORP-CL-2026-88421</w:t>
      </w:r>
      <w:r>
        <w:rPr>
          <w:b w:val="off"/>
          <w:i w:val="off"/>
        </w:rPr>
        <w:t xml:space="preserve"> | Sanction Date: </w:t>
      </w:r>
      <w:r>
        <w:rPr>
          <w:b w:val="off"/>
          <w:i w:val="off"/>
        </w:rPr>
        <w:t>2026-07-08</w:t>
      </w:r>
      <w:r>
        <w:rPr>
          <w:b w:val="off"/>
          <w:i w:val="off"/>
        </w:rPr>
        <w:t xml:space="preserve"> | Next Review Date: </w:t>
      </w:r>
      <w:r>
        <w:rPr>
          <w:b w:val="off"/>
          <w:i w:val="off"/>
        </w:rPr>
        <w:t>2026-06-30</w:t>
      </w:r>
    </w:p>
    <w:p>
      <w:pPr>
        <w:pStyle w:val="ClauseBody"/>
      </w:pPr>
      <w:r>
        <w:rPr>
          <w:b w:val="off"/>
          <w:i w:val="off"/>
        </w:rPr>
        <w:t xml:space="preserve">The Availability Period commences on the Sanction Date and expires on </w:t>
      </w:r>
      <w:r>
        <w:rPr>
          <w:b w:val="off"/>
          <w:i w:val="off"/>
        </w:rPr>
        <w:t>2027-07-07</w:t>
      </w:r>
      <w:r>
        <w:rPr>
          <w:b w:val="off"/>
          <w:i w:val="off"/>
        </w:rPr>
        <w:t>. No utilisation may be made after expiry of the Availability Period unless the Commitment has been extended in writing by the Bank.</w:t>
      </w:r>
    </w:p>
    <w:p>
      <w:pPr>
        <w:pStyle w:val="ClauseBody"/>
      </w:pPr>
      <w:r>
        <w:rPr>
          <w:b w:val="off"/>
          <w:i w:val="off"/>
        </w:rPr>
        <w:t xml:space="preserve">Overdraft Sub-limit: Within the Commitment, an overdraft facility of up to </w:t>
      </w:r>
      <w:r>
        <w:rPr>
          <w:b w:val="off"/>
          <w:i w:val="off"/>
          <w:u w:val="single"/>
        </w:rPr>
        <w:t>GBP</w:t>
      </w:r>
      <w:r>
        <w:rPr>
          <w:b w:val="off"/>
          <w:i w:val="off"/>
          <w:u w:val="single"/>
        </w:rPr>
        <w:t xml:space="preserve"> </w:t>
      </w:r>
      <w:r>
        <w:rPr>
          <w:b w:val="off"/>
          <w:i w:val="off"/>
          <w:u w:val="single"/>
        </w:rPr>
        <w:t>1,000,000.00</w:t>
      </w:r>
      <w:r>
        <w:rPr>
          <w:b w:val="off"/>
          <w:i w:val="off"/>
        </w:rPr>
        <w:t xml:space="preserve"> may be utilised on a same-day basis, subject to intra-day limits and daily review by the Agent.</w:t>
      </w:r>
    </w:p>
    <w:p>
      <w:pPr>
        <w:pStyle w:val="Heading3"/>
      </w:pPr>
      <w:r>
        <w:rPr>
          <w:b w:val="on"/>
          <w:i w:val="off"/>
        </w:rPr>
        <w:t xml:space="preserve">1.1 </w:t>
      </w:r>
      <w:r>
        <w:rPr>
          <w:b w:val="off"/>
          <w:i w:val="off"/>
        </w:rPr>
        <w:t>Conditions Precedent to First Utilisation</w:t>
      </w:r>
    </w:p>
    <w:p>
      <w:pPr>
        <w:pStyle w:val="ClauseBody"/>
      </w:pPr>
      <w:r>
        <w:rPr>
          <w:b w:val="off"/>
          <w:i w:val="off"/>
        </w:rPr>
        <w:t>The Bank is not obliged to fund any utilisation until the following conditions precedent have been satisfied, each in form and substance satisfactory to the Bank:</w:t>
      </w:r>
    </w:p>
    <w:p>
      <w:r>
        <w:rPr>
          <w:b w:val="off"/>
          <w:i w:val="off"/>
        </w:rPr>
        <w:t>Certified constitutional documents of the Borrower and Guarantor, including board resolutions authorising the facility.</w:t>
      </w:r>
    </w:p>
    <w:p>
      <w:pPr>
        <w:pStyle w:val="BodyText"/>
      </w:pPr>
      <w:r>
        <w:rPr>
          <w:b w:val="off"/>
          <w:i w:val="off"/>
        </w:rPr>
        <w:t>Utilisation: Each utilisation must be made by notice to the Agent no later than 10:00 a.m. (London time) on the proposed utilisation date, in the form of a Utilisation Request, specifying the amount, currency and proposed utilisation date. Each utilisation is subject to the satisfaction of the conditions precedent and the representations being true and correct on the utilisation date.</w:t>
      </w:r>
    </w:p>
    <w:p>
      <w:pPr>
        <w:pStyle w:val="BodyText"/>
      </w:pPr>
      <w:r>
        <w:rPr>
          <w:b w:val="off"/>
          <w:i w:val="off"/>
        </w:rPr>
        <w:t>Availability: Limits are reviewed annually and may be reduced, cancelled or withdrawn by the Bank on reasonable written notice if there is a material adverse change in the financial condition of the Borrower or the Group, or if the Borrower breaches any covenant, representation or undertaking under the Finance Documents.</w:t>
      </w:r>
    </w:p>
    <w:p>
      <w:pPr>
        <w:pStyle w:val="BodyText"/>
      </w:pPr>
      <w:r>
        <w:rPr>
          <w:b w:val="off"/>
          <w:i w:val="off"/>
        </w:rPr>
        <w:t>Repayment and Prepayment: The Borrower shall repay the Facility in the instalments and on the dates set out in the Repayment Schedule, subject to mandatory prepayment on the occurrence of any mandatory prepayment event (including change of control, illegality and asset disposal proceeds). Voluntary prepayment is permitted on three Business Days notice, together with any Break Costs.</w:t>
      </w:r>
    </w:p>
    <w:p>
      <w:pPr>
        <w:pStyle w:val="BodyText"/>
      </w:pPr>
      <w:r>
        <w:rPr>
          <w:b w:val="off"/>
          <w:i w:val="off"/>
        </w:rPr>
        <w:t>Representations: The Borrower represents that it is duly incorporated, has power to enter into and perform the Finance Documents, and that the Finance Documents constitute legal, valid and binding obligations. No Event of Default is continuing or would result from the making of any utilisation.</w:t>
      </w:r>
    </w:p>
    <w:p>
      <w:pPr>
        <w:pStyle w:val="BodyText"/>
      </w:pPr>
      <w:r>
        <w:rPr>
          <w:b w:val="off"/>
          <w:i w:val="off"/>
        </w:rPr>
        <w:t>Assignments and Transfers: The Bank may assign, transfer or sub-participate all or any part of its rights and obligations under the Finance Documents to any Eligible Institution, subject to compliance with know-your-customer requirements. The Borrower may not assign or transfer any of its rights without the prior written consent of the Bank.</w:t>
      </w:r>
    </w:p>
    <w:p>
      <w:pPr>
        <w:pStyle w:val="BodyText"/>
      </w:pPr>
      <w:r>
        <w:rPr>
          <w:b w:val="off"/>
          <w:i w:val="off"/>
        </w:rPr>
        <w:t>Confidentiality: Each party shall keep confidential all Confidential Information disclosed under the Finance Documents, save for permitted disclosures to professional advisers, regulators, assignees and as required by law, court order or applicable regulation.</w:t>
      </w:r>
    </w:p>
    <w:p>
      <w:pPr>
        <w:pStyle w:val="BodyText"/>
      </w:pPr>
      <w:r>
        <w:rPr>
          <w:b w:val="off"/>
          <w:i w:val="off"/>
        </w:rPr>
        <w:t>Governing law: This confirmation and the Finance Documents are governed by English law. The courts of England have exclusive jurisdiction, subject to the Agent's right to bring proceedings in any other court of competent jurisdiction.</w:t>
      </w:r>
    </w:p>
    <w:p>
      <w:pPr>
        <w:pStyle w:val="BodyText"/>
      </w:pPr>
      <w:r>
        <w:rPr>
          <w:b w:val="off"/>
          <w:i w:val="off"/>
        </w:rPr>
        <w:t>Defined terms: Capitalised terms used in this confirmation have the meanings given in the facility agreement or, if not defined there, in Schedule 1 (Definitions) to that agreement.</w:t>
      </w:r>
    </w:p>
    <w:p>
      <w:r>
        <w:rPr>
          <w:b w:val="off"/>
          <w:i w:val="off"/>
        </w:rPr>
        <w:t>Legal opinion from counsel of recognised standing in the Borrower's jurisdiction of incorporation.</w:t>
      </w:r>
    </w:p>
    <w:p>
      <w:r>
        <w:rPr>
          <w:b w:val="off"/>
          <w:i w:val="off"/>
        </w:rPr>
        <w:t>Audited financial statements for the last two financial years and most recent management accounts.</w:t>
      </w:r>
    </w:p>
    <w:p>
      <w:r>
        <w:rPr>
          <w:b w:val="off"/>
          <w:i w:val="off"/>
        </w:rPr>
        <w:t>Know-your-customer, anti-money-laundering and sanctions screening documentation for all Obligors.</w:t>
      </w:r>
    </w:p>
    <w:p>
      <w:r>
        <w:rPr>
          <w:b w:val="off"/>
          <w:i w:val="off"/>
        </w:rPr>
        <w:t>Executed security documentation over the shares in the Borrower and the guaranteed accounts.</w:t>
      </w:r>
    </w:p>
    <w:p>
      <w:pPr>
        <w:pStyle w:val="Heading2"/>
      </w:pPr>
      <w:r>
        <w:rPr>
          <w:b w:val="on"/>
          <w:i w:val="off"/>
        </w:rPr>
        <w:t xml:space="preserve">1 </w:t>
      </w:r>
      <w:r>
        <w:rPr>
          <w:b w:val="off"/>
          <w:i w:val="off"/>
        </w:rPr>
        <w:t>Interest, Fees and Pricing</w:t>
      </w:r>
    </w:p>
    <w:p>
      <w:pPr>
        <w:pStyle w:val="ClauseBody"/>
      </w:pPr>
      <w:r>
        <w:rPr>
          <w:b w:val="off"/>
          <w:i w:val="off"/>
        </w:rPr>
        <w:t>Interest on each Loan accrues at the rate per annum which is the aggregate of the Reference Rate (</w:t>
      </w:r>
      <w:r>
        <w:rPr>
          <w:b w:val="off"/>
          <w:i w:val="off"/>
        </w:rPr>
        <w:t>SONIA (compounded in arrears)</w:t>
      </w:r>
      <w:r>
        <w:rPr>
          <w:b w:val="off"/>
          <w:i w:val="off"/>
        </w:rPr>
        <w:t xml:space="preserve">) and the Margin of </w:t>
      </w:r>
      <w:r>
        <w:rPr>
          <w:b w:val="on"/>
          <w:i w:val="off"/>
        </w:rPr>
        <w:t>165</w:t>
      </w:r>
      <w:r>
        <w:rPr>
          <w:b w:val="on"/>
          <w:i w:val="off"/>
        </w:rPr>
        <w:t xml:space="preserve"> bps</w:t>
      </w:r>
      <w:r>
        <w:rPr>
          <w:b w:val="off"/>
          <w:i w:val="off"/>
        </w:rPr>
        <w:t>, calculated on the basis of actual days elapsed and a 365-day year (or 366 days in a leap year).</w:t>
      </w:r>
    </w:p>
    <w:p>
      <w:pPr>
        <w:pStyle w:val="ClauseBody"/>
      </w:pPr>
      <w:r>
        <w:rPr>
          <w:b w:val="off"/>
          <w:i w:val="off"/>
        </w:rPr>
        <w:t xml:space="preserve">A commitment fee of </w:t>
      </w:r>
      <w:r>
        <w:rPr>
          <w:b w:val="off"/>
          <w:i w:val="off"/>
        </w:rPr>
        <w:t>40</w:t>
      </w:r>
      <w:r>
        <w:rPr>
          <w:b w:val="off"/>
          <w:i w:val="off"/>
        </w:rPr>
        <w:t xml:space="preserve"> basis points per annum is payable on the undrawn and uncancelled Commitment, calculated daily and paid quarterly in arrears on the last Business Day of each March, June, September and December.</w:t>
      </w:r>
    </w:p>
    <w:p>
      <w:pPr>
        <w:pStyle w:val="ClauseBody"/>
      </w:pPr>
      <w:r>
        <w:rPr>
          <w:b w:val="off"/>
          <w:i w:val="off"/>
        </w:rPr>
        <w:t>Default interest applies to any overdue amount at the rate specified in the facility agreement (typically two per cent. per annum above the rate which would have been payable if the overdue amount had, during the period of non-payment, constituted a Loan in the currency of the overdue amount).</w:t>
      </w:r>
    </w:p>
    <w:p>
      <w:pPr>
        <w:pStyle w:val="ClauseBody"/>
      </w:pPr>
      <w:r>
        <w:rPr>
          <w:b w:val="off"/>
          <w:i w:val="off"/>
        </w:rPr>
        <w:t>Interest periods shall be one, three or six months as selected by the Borrower in the relevant Utilisation Request, subject to availability of the Reference Rate for the selected period.</w:t>
      </w:r>
    </w:p>
    <w:p>
      <w:pPr>
        <w:pStyle w:val="Heading2"/>
      </w:pPr>
      <w:r>
        <w:rPr>
          <w:b w:val="on"/>
          <w:i w:val="off"/>
        </w:rPr>
        <w:t xml:space="preserve">1 </w:t>
      </w:r>
      <w:r>
        <w:rPr>
          <w:b w:val="off"/>
          <w:i w:val="off"/>
        </w:rPr>
        <w:t>Financial Covenants and Reporting</w:t>
      </w:r>
    </w:p>
    <w:p>
      <w:pPr>
        <w:pStyle w:val="ClauseBody"/>
      </w:pPr>
      <w:r>
        <w:rPr>
          <w:b w:val="off"/>
          <w:i w:val="off"/>
        </w:rPr>
        <w:t>The Borrower shall procure that the Group complies with the following financial covenants, tested quarterly on each Financial Quarter end based on consolidated financial statements:</w:t>
      </w:r>
    </w:p>
    <w:p>
      <w:pPr>
        <w:pStyle w:val="BodyText"/>
      </w:pPr>
      <w:r>
        <w:rPr>
          <w:b w:val="off"/>
          <w:i w:val="off"/>
        </w:rPr>
        <w:t>Financial covenants: The Borrower shall procure that the Group complies with the following financial covenants, to be tested quarterly as at the last day of each Financial Quarter based on the consolidated financial statements of the Group:</w:t>
      </w:r>
    </w:p>
    <w:p>
      <w:pPr>
        <w:pStyle w:val="BodyText"/>
      </w:pPr>
      <w:r>
        <w:rPr>
          <w:b w:val="off"/>
          <w:i w:val="off"/>
        </w:rPr>
        <w:t>(a) Leverage Ratio: Total Financial Indebtedness to EBITDA not to exceed the maximum leverage ratio set out in the Facility Particulars, calculated on a trailing twelve-month basis;</w:t>
      </w:r>
    </w:p>
    <w:p>
      <w:pPr>
        <w:pStyle w:val="BodyText"/>
      </w:pPr>
      <w:r>
        <w:rPr>
          <w:b w:val="off"/>
          <w:i w:val="off"/>
        </w:rPr>
        <w:t>(b) Interest Cover Ratio: EBITDA to net finance costs to be not less than the minimum interest cover ratio set out in the Facility Particulars, calculated on a trailing twelve-month basis;</w:t>
      </w:r>
    </w:p>
    <w:p>
      <w:pPr>
        <w:pStyle w:val="BodyText"/>
      </w:pPr>
      <w:r>
        <w:rPr>
          <w:b w:val="off"/>
          <w:i w:val="off"/>
        </w:rPr>
        <w:t>(c) Tangible Net Worth: Tangible net worth of the Group to be not less than the minimum tangible net worth set out in the Facility Particulars, calculated as at each Financial Quarter end.</w:t>
      </w:r>
    </w:p>
    <w:p>
      <w:pPr>
        <w:pStyle w:val="BodyText"/>
      </w:pPr>
      <w:r>
        <w:rPr>
          <w:b w:val="off"/>
          <w:i w:val="off"/>
        </w:rPr>
        <w:t>Reporting: The Borrower shall deliver to the Bank (i) audited annual consolidated financial statements within 120 days of each financial year end; (ii) unaudited quarterly management accounts within 45 days of each Financial Quarter end; and (iii) a Compliance Certificate signed by two directors or authorised signatories of the Borrower confirming compliance with the financial covenants, within 30 days of each Financial Quarter end.</w:t>
      </w:r>
    </w:p>
    <w:p>
      <w:pPr>
        <w:pStyle w:val="BodyText"/>
      </w:pPr>
      <w:r>
        <w:rPr>
          <w:b w:val="off"/>
          <w:i w:val="off"/>
        </w:rPr>
        <w:t>Equity Cure: Where a breach of any financial covenant occurs, the Borrower may, with the consent of the Bank, cure such breach by an equity injection, provided that no more than two equity cures may be applied in any rolling four-quarter period and the cured compliance is recalculated in accordance with the facility agreement.</w:t>
      </w:r>
    </w:p>
    <w:p>
      <w:pPr>
        <w:pStyle w:val="BodyText"/>
      </w:pPr>
      <w:r>
        <w:rPr>
          <w:b w:val="off"/>
          <w:i w:val="off"/>
        </w:rPr>
        <w:t>Material events: The Borrower shall notify the Bank promptly (and in any event within five Business Days) of any litigation, claim or proceedings exceeding the materiality threshold, any change of control, any breach of covenant or representation, any event of default or any event which would reasonably be expected to have a Material Adverse Effect.</w:t>
      </w:r>
    </w:p>
    <w:p/>
    <w:p>
      <w:pPr>
        <w:sectPr>
          <w:type w:val="nextPage"/>
          <w:pgNumType w:start="1"/>
        </w:sectPr>
      </w:pPr>
    </w:p>
    <w:p>
      <w:pPr>
        <w:jc w:val="left"/>
      </w:pPr>
      <w:r>
        <w:rPr>
          <w:b w:val="on"/>
          <w:sz w:val="24"/>
        </w:rPr>
        <w:t>Schedules and Default</w:t>
      </w:r>
    </w:p>
    <w:p>
      <w:pPr>
        <w:pStyle w:val="Heading2"/>
      </w:pPr>
      <w:r>
        <w:rPr>
          <w:b w:val="on"/>
          <w:i w:val="off"/>
        </w:rPr>
        <w:t xml:space="preserve">1 </w:t>
      </w:r>
      <w:r>
        <w:rPr>
          <w:b w:val="off"/>
          <w:i w:val="off"/>
        </w:rPr>
        <w:t>Repayment Schedule</w:t>
      </w:r>
    </w:p>
    <w:p>
      <w:pPr>
        <w:pStyle w:val="ScheduleTitle"/>
      </w:pPr>
      <w:r>
        <w:rPr>
          <w:b w:val="off"/>
          <w:i w:val="off"/>
        </w:rPr>
        <w:t>Schedule 1 — Indicative Repayment Profile (subject to adjustment on each Interest Payment Date)</w:t>
      </w:r>
    </w:p>
    <w:p/>
    <w:p>
      <w:pPr>
        <w:pStyle w:val="ClauseBody"/>
      </w:pPr>
      <w:r>
        <w:rPr>
          <w:b w:val="off"/>
          <w:i w:val="off"/>
        </w:rPr>
        <w:t>The schedule above is indicative only. Actual principal and interest amounts will be confirmed by the Agent on each interest determination date. Mandatory prepayment applies on change of control, illegality and disposal of assets exceeding the materiality threshold specified in the facility agreement.</w:t>
      </w:r>
    </w:p>
    <w:tbl>
      <w:tblPr>
        <w:tblW w:w="0" w:type="auto"/>
        <w:tblBorders>
          <w:top w:val="single"/>
          <w:left w:val="single"/>
          <w:bottom w:val="single"/>
          <w:right w:val="single"/>
          <w:insideH w:val="single"/>
          <w:insideV w:val="single"/>
        </w:tblBorders>
      </w:tblPr>
      <w:tr>
        <w:tc>
          <w:p>
            <w:pPr>
              <w:pStyle w:val="TableHeader"/>
            </w:pPr>
            <w:r>
              <w:rPr>
                <w:b w:val="on"/>
                <w:i w:val="off"/>
              </w:rPr>
              <w:t>Payment Date</w:t>
            </w:r>
          </w:p>
        </w:tc>
        <w:tc>
          <w:p>
            <w:pPr>
              <w:pStyle w:val="TableHeader"/>
            </w:pPr>
            <w:r>
              <w:rPr>
                <w:b w:val="on"/>
                <w:i w:val="off"/>
              </w:rPr>
              <w:t>Principal Repayment</w:t>
            </w:r>
          </w:p>
        </w:tc>
        <w:tc>
          <w:p>
            <w:pPr>
              <w:pStyle w:val="TableHeader"/>
            </w:pPr>
            <w:r>
              <w:rPr>
                <w:b w:val="on"/>
                <w:i w:val="off"/>
              </w:rPr>
              <w:t>Interest</w:t>
            </w:r>
          </w:p>
        </w:tc>
        <w:tc>
          <w:p>
            <w:pPr>
              <w:pStyle w:val="TableHeader"/>
            </w:pPr>
            <w:r>
              <w:rPr>
                <w:b w:val="on"/>
                <w:i w:val="off"/>
              </w:rPr>
              <w:t>Outstanding Balance</w:t>
            </w:r>
          </w:p>
        </w:tc>
      </w:tr>
      <w:tr>
        <w:tc>
          <w:p>
            <w:r>
              <w:rPr>
                <w:b w:val="off"/>
                <w:i w:val="off"/>
              </w:rPr>
              <w:t>2026-10-07</w:t>
            </w:r>
          </w:p>
        </w:tc>
        <w:tc>
          <w:p>
            <w:r>
              <w:rPr>
                <w:b w:val="off"/>
                <w:i w:val="off"/>
              </w:rPr>
              <w:t>GBP 1,041,666.67</w:t>
            </w:r>
          </w:p>
        </w:tc>
        <w:tc>
          <w:p>
            <w:r>
              <w:rPr>
                <w:b w:val="off"/>
                <w:i w:val="off"/>
              </w:rPr>
              <w:t>GBP 312,500.00</w:t>
            </w:r>
          </w:p>
        </w:tc>
        <w:tc>
          <w:p>
            <w:r>
              <w:rPr>
                <w:b w:val="off"/>
                <w:i w:val="off"/>
              </w:rPr>
              <w:t>GBP 11,458,333.33</w:t>
            </w:r>
          </w:p>
        </w:tc>
      </w:tr>
      <w:tr>
        <w:tc>
          <w:p>
            <w:r>
              <w:rPr>
                <w:b w:val="off"/>
                <w:i w:val="off"/>
              </w:rPr>
              <w:t>2027-01-07</w:t>
            </w:r>
          </w:p>
        </w:tc>
        <w:tc>
          <w:p>
            <w:r>
              <w:rPr>
                <w:b w:val="off"/>
                <w:i w:val="off"/>
              </w:rPr>
              <w:t>GBP 1,041,666.67</w:t>
            </w:r>
          </w:p>
        </w:tc>
        <w:tc>
          <w:p>
            <w:r>
              <w:rPr>
                <w:b w:val="off"/>
                <w:i w:val="off"/>
              </w:rPr>
              <w:t>GBP 286,458.33</w:t>
            </w:r>
          </w:p>
        </w:tc>
        <w:tc>
          <w:p>
            <w:r>
              <w:rPr>
                <w:b w:val="off"/>
                <w:i w:val="off"/>
              </w:rPr>
              <w:t>GBP 10,416,666.66</w:t>
            </w:r>
          </w:p>
        </w:tc>
      </w:tr>
      <w:tr>
        <w:tc>
          <w:p>
            <w:r>
              <w:rPr>
                <w:b w:val="off"/>
                <w:i w:val="off"/>
              </w:rPr>
              <w:t>2027-04-07</w:t>
            </w:r>
          </w:p>
        </w:tc>
        <w:tc>
          <w:p>
            <w:r>
              <w:rPr>
                <w:b w:val="off"/>
                <w:i w:val="off"/>
              </w:rPr>
              <w:t>GBP 1,041,666.67</w:t>
            </w:r>
          </w:p>
        </w:tc>
        <w:tc>
          <w:p>
            <w:r>
              <w:rPr>
                <w:b w:val="off"/>
                <w:i w:val="off"/>
              </w:rPr>
              <w:t>GBP 260,416.67</w:t>
            </w:r>
          </w:p>
        </w:tc>
        <w:tc>
          <w:p>
            <w:r>
              <w:rPr>
                <w:b w:val="off"/>
                <w:i w:val="off"/>
              </w:rPr>
              <w:t>GBP 9,374,999.99</w:t>
            </w:r>
          </w:p>
        </w:tc>
      </w:tr>
      <w:tr>
        <w:tc>
          <w:p>
            <w:r>
              <w:rPr>
                <w:b w:val="off"/>
                <w:i w:val="off"/>
              </w:rPr>
              <w:t>2027-07-07</w:t>
            </w:r>
          </w:p>
        </w:tc>
        <w:tc>
          <w:p>
            <w:r>
              <w:rPr>
                <w:b w:val="off"/>
                <w:i w:val="off"/>
              </w:rPr>
              <w:t>GBP 9,374,999.99</w:t>
            </w:r>
          </w:p>
        </w:tc>
        <w:tc>
          <w:p>
            <w:r>
              <w:rPr>
                <w:b w:val="off"/>
                <w:i w:val="off"/>
              </w:rPr>
              <w:t>GBP 234,375.00</w:t>
            </w:r>
          </w:p>
        </w:tc>
        <w:tc>
          <w:p>
            <w:r>
              <w:rPr>
                <w:b w:val="off"/>
                <w:i w:val="off"/>
              </w:rPr>
              <w:t>GBP 0.00</w:t>
            </w:r>
          </w:p>
        </w:tc>
      </w:tr>
    </w:tbl>
    <w:p>
      <w:pPr>
        <w:pStyle w:val="Heading2"/>
      </w:pPr>
      <w:r>
        <w:rPr>
          <w:b w:val="on"/>
          <w:i w:val="off"/>
        </w:rPr>
        <w:t xml:space="preserve">1 </w:t>
      </w:r>
      <w:r>
        <w:rPr>
          <w:b w:val="off"/>
          <w:i w:val="off"/>
        </w:rPr>
        <w:t>Events of Default</w:t>
      </w:r>
    </w:p>
    <w:p>
      <w:pPr>
        <w:pStyle w:val="BodyText"/>
      </w:pPr>
      <w:r>
        <w:rPr>
          <w:b w:val="off"/>
          <w:i w:val="off"/>
        </w:rPr>
        <w:t>Each of the following is an Event of Default:</w:t>
      </w:r>
    </w:p>
    <w:p>
      <w:pPr>
        <w:pStyle w:val="BodyText"/>
      </w:pPr>
      <w:r>
        <w:rPr>
          <w:b w:val="off"/>
          <w:i w:val="off"/>
        </w:rPr>
        <w:t>(a) Non-payment: The Borrower does not pay on the due date any amount payable pursuant to a Finance Document at the place and in the currency in which it is expressed to be payable, unless failure to pay is caused by administrative or technical error and payment is made within three Business Days of its due date.</w:t>
      </w:r>
    </w:p>
    <w:p>
      <w:pPr>
        <w:pStyle w:val="BodyText"/>
      </w:pPr>
      <w:r>
        <w:rPr>
          <w:b w:val="off"/>
          <w:i w:val="off"/>
        </w:rPr>
        <w:t>(b) Financial covenants: Any financial covenant is not satisfied, or any requirement of the financial covenants is not complied with.</w:t>
      </w:r>
    </w:p>
    <w:p>
      <w:pPr>
        <w:pStyle w:val="BodyText"/>
      </w:pPr>
      <w:r>
        <w:rPr>
          <w:b w:val="off"/>
          <w:i w:val="off"/>
        </w:rPr>
        <w:t>(c) Other obligations: The Borrower does not comply with any provision of the Finance Documents (other than those referred to in paragraphs (a) and (b) above), and such default is not remedied within 15 Business Days of the earlier of the Bank giving notice and the Borrower becoming aware.</w:t>
      </w:r>
    </w:p>
    <w:p>
      <w:pPr>
        <w:pStyle w:val="BodyText"/>
      </w:pPr>
      <w:r>
        <w:rPr>
          <w:b w:val="off"/>
          <w:i w:val="off"/>
        </w:rPr>
        <w:t>(d) Misrepresentation: Any representation or statement made or deemed to be made by an Obligor in the Finance Documents or any other document delivered by or on behalf of any Obligor is or proves to have been incorrect or misleading in any material respect when made or deemed to be made.</w:t>
      </w:r>
    </w:p>
    <w:p>
      <w:pPr>
        <w:pStyle w:val="BodyText"/>
      </w:pPr>
      <w:r>
        <w:rPr>
          <w:b w:val="off"/>
          <w:i w:val="off"/>
        </w:rPr>
        <w:t>(e) Insolvency: An Obligor is unable or admits inability to pay its debts as they fall due, suspends making payments on any of its debts, or by reason of actual or anticipated financial difficulties commences negotiations with creditors with a view to rescheduling any of its indebtedness.</w:t>
      </w:r>
    </w:p>
    <w:p>
      <w:pPr>
        <w:pStyle w:val="BodyText"/>
      </w:pPr>
      <w:r>
        <w:rPr>
          <w:b w:val="off"/>
          <w:i w:val="off"/>
        </w:rPr>
        <w:t>(f) Insolvency proceedings: Any corporate action, legal proceedings or other procedure or step is taken in relation to the suspension of payments, a moratorium of any indebtedness, winding-up, dissolution, administration or reorganisation of an Obligor.</w:t>
      </w:r>
    </w:p>
    <w:p>
      <w:pPr>
        <w:pStyle w:val="BodyText"/>
      </w:pPr>
      <w:r>
        <w:rPr>
          <w:b w:val="off"/>
          <w:i w:val="off"/>
        </w:rPr>
        <w:t>(g) Creditors process: Any expropriation, attachment, sequestration, distress or execution affects any asset of an Obligor and is not discharged within 15 Business Days.</w:t>
      </w:r>
    </w:p>
    <w:p>
      <w:pPr>
        <w:pStyle w:val="BodyText"/>
      </w:pPr>
      <w:r>
        <w:rPr>
          <w:b w:val="off"/>
          <w:i w:val="off"/>
        </w:rPr>
        <w:t>(h) Unlawfulness: It is or becomes unlawful for an Obligor to perform any of its obligations under the Finance Documents.</w:t>
      </w:r>
    </w:p>
    <w:p>
      <w:pPr>
        <w:pStyle w:val="BodyText"/>
      </w:pPr>
      <w:r>
        <w:rPr>
          <w:b w:val="off"/>
          <w:i w:val="off"/>
        </w:rPr>
        <w:t>(i) Material adverse change: Any event or circumstance occurs which the Bank reasonably believes has or is reasonably likely to have a Material Adverse Effect.</w:t>
      </w:r>
    </w:p>
    <w:p>
      <w:pPr>
        <w:pStyle w:val="BodyText"/>
      </w:pPr>
      <w:r>
        <w:rPr>
          <w:b w:val="off"/>
          <w:i w:val="off"/>
        </w:rPr>
        <w:t>On and at any time after the occurrence of an Event of Default which is continuing, the Bank may by notice to the Borrower cancel the Commitment and/or declare that all or part of the Loans, together with accrued interest and all other amounts accrued under the Finance Documents, be immediately due and payable.</w:t>
      </w:r>
    </w:p>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or the Finance Documents. The Borrower irrevocably submits to the jurisdiction of such courts and waives any objection to proceedings in such courts on grounds of inconvenient forum.</w:t>
      </w:r>
    </w:p>
    <w:p>
      <w:pPr>
        <w:pStyle w:val="ClauseBody"/>
      </w:pPr>
      <w:r>
        <w:rPr>
          <w:b w:val="off"/>
          <w:i w:val="off"/>
        </w:rPr>
        <w:t>Nothing in this clause limits the right of the Bank to take proceedings in any other court of competent jurisdiction, nor shall the taking of proceedings in one or more jurisdictions preclude the taking of proceedings in any other jurisdiction.</w:t>
      </w:r>
    </w:p>
    <w:p>
      <w:pPr>
        <w:pStyle w:val="Heading2"/>
      </w:pPr>
      <w:r>
        <w:rPr>
          <w:b w:val="on"/>
          <w:i w:val="off"/>
        </w:rPr>
        <w:t xml:space="preserve">1 </w:t>
      </w:r>
      <w:r>
        <w:rPr>
          <w:b w:val="off"/>
          <w:i w:val="off"/>
        </w:rPr>
        <w:t>Authorised Signatory</w:t>
      </w:r>
    </w:p>
    <w:p>
      <w:pPr>
        <w:pStyle w:val="ClauseBody"/>
      </w:pPr>
      <w:r>
        <w:rPr>
          <w:b w:val="off"/>
          <w:i w:val="off"/>
        </w:rPr>
        <w:t>Please confirm your acceptance of the terms set out in this letter by countersigning and returning an executed copy to the Bank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2026-07-20T10:06:25Z</dcterms:created>
  <dc:creator>Apache POI</dc:creator>
</cp:coreProperties>
</file>