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Facility Renewal Confirmation</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CORP-REL-2024-77102</w:t>
      </w:r>
    </w:p>
    <w:p>
      <w:pPr>
        <w:pStyle w:val="ClauseBody"/>
      </w:pPr>
      <w:r>
        <w:rPr>
          <w:b w:val="off"/>
          <w:i w:val="off"/>
        </w:rPr>
        <w:t xml:space="preserve">To: </w:t>
      </w:r>
      <w:r>
        <w:rPr>
          <w:b w:val="on"/>
          <w:i w:val="off"/>
        </w:rPr>
        <w:t>Harbour Logistics Holdings plc</w:t>
      </w:r>
    </w:p>
    <w:p>
      <w:pPr>
        <w:pStyle w:val="ClauseBody"/>
      </w:pPr>
      <w:r>
        <w:rPr>
          <w:b w:val="off"/>
          <w:i w:val="off"/>
        </w:rPr>
        <w:t>Pier 9, Port of Felixstowe, Suffolk IP11 3SY, United Kingdom</w:t>
      </w:r>
    </w:p>
    <w:p>
      <w:pPr>
        <w:pStyle w:val="ClauseBody"/>
      </w:pPr>
      <w:r>
        <w:rPr>
          <w:b w:val="off"/>
          <w:i w:val="off"/>
        </w:rPr>
        <w:t>Dear Sirs,</w:t>
      </w:r>
    </w:p>
    <w:p>
      <w:pPr>
        <w:pStyle w:val="ClauseBody"/>
      </w:pPr>
      <w:r>
        <w:rPr>
          <w:b w:val="off"/>
          <w:i w:val="off"/>
        </w:rPr>
        <w:t xml:space="preserve">Re: Facility Renewal Confirmation — Facility Reference </w:t>
      </w:r>
      <w:r>
        <w:rPr>
          <w:b w:val="off"/>
          <w:i w:val="off"/>
          <w:u w:val="single"/>
        </w:rPr>
        <w:t>CORP-FAC-2024-77102</w:t>
      </w:r>
    </w:p>
    <w:p>
      <w:pPr>
        <w:pStyle w:val="ClauseBody"/>
      </w:pPr>
      <w:r>
        <w:rPr>
          <w:b w:val="off"/>
          <w:i w:val="off"/>
        </w:rPr>
        <w:t xml:space="preserve">We, </w:t>
      </w:r>
      <w:r>
        <w:rPr>
          <w:b w:val="on"/>
          <w:i w:val="off"/>
        </w:rPr>
        <w:t>Meridian Global Banking Corporation</w:t>
      </w:r>
      <w:r>
        <w:rPr>
          <w:b w:val="off"/>
          <w:i w:val="off"/>
        </w:rPr>
        <w:t xml:space="preserve">, acting through </w:t>
      </w:r>
      <w:r>
        <w:rPr>
          <w:b w:val="off"/>
          <w:i w:val="off"/>
        </w:rPr>
        <w:t>Corporate Credit — Wholesale Banking</w:t>
      </w:r>
      <w:r>
        <w:rPr>
          <w:b w:val="off"/>
          <w:i w:val="off"/>
        </w:rPr>
        <w:t xml:space="preserve">, write in connection with the renewal of the </w:t>
      </w:r>
      <w:r>
        <w:rPr>
          <w:b w:val="off"/>
          <w:i w:val="off"/>
        </w:rPr>
        <w:t>revolving credit facility</w:t>
      </w:r>
      <w:r>
        <w:rPr>
          <w:b w:val="off"/>
          <w:i w:val="off"/>
        </w:rPr>
        <w:t xml:space="preserve"> made available to </w:t>
      </w:r>
      <w:r>
        <w:rPr>
          <w:b w:val="on"/>
          <w:i w:val="off"/>
        </w:rPr>
        <w:t>Harbour Logistics Holdings plc</w:t>
      </w:r>
      <w:r>
        <w:rPr>
          <w:b w:val="off"/>
          <w:i w:val="off"/>
        </w:rPr>
        <w:t>.</w:t>
      </w:r>
    </w:p>
    <w:p>
      <w:pPr>
        <w:sectPr>
          <w:type w:val="nextPage"/>
          <w:pgNumType w:start="1"/>
        </w:sectPr>
      </w:pPr>
    </w:p>
    <w:p>
      <w:pPr>
        <w:jc w:val="left"/>
      </w:pPr>
      <w:r>
        <w:rPr>
          <w:b w:val="on"/>
          <w:sz w:val="24"/>
        </w:rPr>
        <w:t>Renewal Confirmation</w:t>
      </w:r>
    </w:p>
    <w:p>
      <w:pPr>
        <w:pStyle w:val="Heading2"/>
      </w:pPr>
      <w:r>
        <w:rPr>
          <w:b w:val="on"/>
          <w:i w:val="off"/>
        </w:rPr>
        <w:t xml:space="preserve">1 </w:t>
      </w:r>
      <w:r>
        <w:rPr>
          <w:b w:val="off"/>
          <w:i w:val="off"/>
        </w:rPr>
        <w:t>Renewal Confirmation</w:t>
      </w:r>
    </w:p>
    <w:p>
      <w:pPr>
        <w:pStyle w:val="ClauseBody"/>
      </w:pPr>
      <w:r>
        <w:rPr>
          <w:b w:val="off"/>
          <w:i w:val="off"/>
        </w:rPr>
        <w:t xml:space="preserve">We are pleased to confirm the renewal of the Facility of </w:t>
      </w:r>
      <w:r>
        <w:rPr>
          <w:b w:val="on"/>
          <w:i w:val="off"/>
        </w:rPr>
        <w:t>GBP</w:t>
      </w:r>
      <w:r>
        <w:rPr>
          <w:b w:val="on"/>
          <w:i w:val="off"/>
        </w:rPr>
        <w:t xml:space="preserve"> </w:t>
      </w:r>
      <w:r>
        <w:rPr>
          <w:b w:val="on"/>
          <w:i w:val="off"/>
        </w:rPr>
        <w:t>15,000,000.00</w:t>
      </w:r>
      <w:r>
        <w:rPr>
          <w:b w:val="off"/>
          <w:i w:val="off"/>
        </w:rPr>
        <w:t xml:space="preserve">, effective from </w:t>
      </w:r>
      <w:r>
        <w:rPr>
          <w:b w:val="on"/>
          <w:i w:val="off"/>
        </w:rPr>
        <w:t>2026-07-01</w:t>
      </w:r>
      <w:r>
        <w:rPr>
          <w:b w:val="off"/>
          <w:i w:val="off"/>
        </w:rPr>
        <w:t xml:space="preserve"> for a term of </w:t>
      </w:r>
      <w:r>
        <w:rPr>
          <w:b w:val="off"/>
          <w:i w:val="off"/>
        </w:rPr>
        <w:t>12</w:t>
      </w:r>
      <w:r>
        <w:rPr>
          <w:b w:val="off"/>
          <w:i w:val="off"/>
        </w:rPr>
        <w:t xml:space="preserve"> months, expiring on </w:t>
      </w:r>
      <w:r>
        <w:rPr>
          <w:b w:val="off"/>
          <w:i w:val="off"/>
        </w:rPr>
        <w:t>2027-06-30</w:t>
      </w:r>
      <w:r>
        <w:rPr>
          <w:b w:val="off"/>
          <w:i w:val="off"/>
        </w:rPr>
        <w:t>.</w:t>
      </w:r>
    </w:p>
    <w:p>
      <w:pPr>
        <w:pStyle w:val="ClauseBody"/>
      </w:pPr>
      <w:r>
        <w:rPr>
          <w:b w:val="off"/>
          <w:i w:val="off"/>
        </w:rPr>
        <w:t xml:space="preserve">Review outcome: </w:t>
      </w:r>
      <w:r>
        <w:rPr>
          <w:b w:val="off"/>
          <w:i w:val="off"/>
        </w:rPr>
        <w:t>Facility renewed for a further 12-month term</w:t>
      </w:r>
    </w:p>
    <w:p>
      <w:pPr>
        <w:sectPr>
          <w:type w:val="nextPage"/>
          <w:pgNumType w:start="1"/>
        </w:sectPr>
      </w:pPr>
    </w:p>
    <w:p>
      <w:pPr>
        <w:jc w:val="left"/>
      </w:pPr>
      <w:r>
        <w:rPr>
          <w:b w:val="on"/>
          <w:sz w:val="24"/>
        </w:rPr>
        <w:t>Renewed Terms</w:t>
      </w:r>
    </w:p>
    <w:p>
      <w:pPr>
        <w:pStyle w:val="Heading2"/>
      </w:pPr>
      <w:r>
        <w:rPr>
          <w:b w:val="on"/>
          <w:i w:val="off"/>
        </w:rPr>
        <w:t xml:space="preserve">1 </w:t>
      </w:r>
      <w:r>
        <w:rPr>
          <w:b w:val="off"/>
          <w:i w:val="off"/>
        </w:rPr>
        <w:t>Renewed Terms</w:t>
      </w:r>
    </w:p>
    <w:p>
      <w:pPr>
        <w:pStyle w:val="ClauseBody"/>
      </w:pPr>
      <w:r>
        <w:rPr>
          <w:b w:val="off"/>
          <w:i w:val="off"/>
        </w:rPr>
        <w:t>The renewal is subject to the following terms:</w:t>
      </w:r>
    </w:p>
    <w:p>
      <w:pPr>
        <w:sectPr>
          <w:type w:val="nextPage"/>
          <w:pgNumType w:start="1"/>
        </w:sectPr>
      </w:pPr>
    </w:p>
    <w:p>
      <w:pPr>
        <w:jc w:val="left"/>
      </w:pPr>
      <w:r>
        <w:rPr>
          <w:b w:val="on"/>
          <w:sz w:val="24"/>
        </w:rPr>
        <w:t>Financial Covenants</w:t>
      </w:r>
    </w:p>
    <w:p>
      <w:pPr>
        <w:pStyle w:val="Heading2"/>
      </w:pPr>
      <w:r>
        <w:rPr>
          <w:b w:val="on"/>
          <w:i w:val="off"/>
        </w:rPr>
        <w:t xml:space="preserve">1 </w:t>
      </w:r>
      <w:r>
        <w:rPr>
          <w:b w:val="off"/>
          <w:i w:val="off"/>
        </w:rPr>
        <w:t>Financial Covenants</w:t>
      </w:r>
    </w:p>
    <w:p>
      <w:pPr>
        <w:pStyle w:val="ClauseBody"/>
      </w:pPr>
      <w:r>
        <w:rPr>
          <w:b w:val="off"/>
          <w:i w:val="off"/>
        </w:rPr>
        <w:t>The Borrower shall procure that the Group complies with the financial covenants set out in the facility agreement, tested quarterly on each Financial Quarter end.</w:t>
      </w:r>
    </w:p>
    <w:p>
      <w:pPr>
        <w:pStyle w:val="BodyText"/>
      </w:pPr>
      <w:r>
        <w:rPr>
          <w:b w:val="off"/>
          <w:i w:val="off"/>
        </w:rPr>
        <w:t>Reporting: The Borrower shall deliver to the Bank (i) audited annual consolidated financial statements within 120 days of each financial year end; (ii) unaudited quarterly management accounts within 45 days of each Financial Quarter end; and (iii) a Compliance Certificate signed by two directors or authorised signatories confirming compliance with the financial covenants, within 30 days of each Financial Quarter end.</w:t>
      </w:r>
    </w:p>
    <w:p>
      <w:pPr>
        <w:pStyle w:val="BodyText"/>
      </w:pPr>
      <w:r>
        <w:rPr>
          <w:b w:val="off"/>
          <w:i w:val="off"/>
        </w:rPr>
        <w:t>Equity Cure: Where a breach of any financial covenant occurs, the Borrower may, with the consent of the Bank, cure such breach by an equity injection, provided that no more than two equity cures may be applied in any rolling four-quarter period and the cured compliance is recalculated in accordance with the facility agreement.</w:t>
      </w:r>
    </w:p>
    <w:p>
      <w:pPr>
        <w:pStyle w:val="BodyText"/>
      </w:pPr>
      <w:r>
        <w:rPr>
          <w:b w:val="off"/>
          <w:i w:val="off"/>
        </w:rPr>
        <w:t>General undertakings: The Borrower shall (a) maintain its corporate existence and obtain all authorisations necessary for its business; (b) comply with all applicable laws including anti-bribery, sanctions and anti-money-laundering regulations; (c) not dispose of any material assets outside the ordinary course of business without prior Bank consent; and (d) maintain insurance on its assets with reputable insurers.</w:t>
      </w:r>
    </w:p>
    <w:p>
      <w:pPr>
        <w:pStyle w:val="BodyText"/>
      </w:pPr>
      <w:r>
        <w:rPr>
          <w:b w:val="off"/>
          <w:i w:val="off"/>
        </w:rPr>
        <w:t>Material events: The Borrower shall notify the Bank promptly (and in any event within five Business Days) of any litigation, claim or proceedings exceeding the materiality threshold, any change of control, any breach of covenant or representation, any Event of Default or any event which would reasonably be expected to have a Material Adverse Effect.</w:t>
      </w:r>
    </w:p>
    <w:p>
      <w:pPr>
        <w:sectPr>
          <w:type w:val="nextPage"/>
          <w:pgNumType w:start="1"/>
        </w:sectPr>
      </w:pPr>
    </w:p>
    <w:p>
      <w:pPr>
        <w:jc w:val="left"/>
      </w:pPr>
      <w:r>
        <w:rPr>
          <w:b w:val="on"/>
          <w:sz w:val="24"/>
        </w:rPr>
        <w:t>Conditions Precedent</w:t>
      </w:r>
    </w:p>
    <w:p>
      <w:pPr>
        <w:pStyle w:val="Heading2"/>
      </w:pPr>
      <w:r>
        <w:rPr>
          <w:b w:val="on"/>
          <w:i w:val="off"/>
        </w:rPr>
        <w:t xml:space="preserve">1 </w:t>
      </w:r>
      <w:r>
        <w:rPr>
          <w:b w:val="off"/>
          <w:i w:val="off"/>
        </w:rPr>
        <w:t>Conditions Precedent to Renewal</w:t>
      </w:r>
    </w:p>
    <w:p>
      <w:pPr>
        <w:pStyle w:val="ClauseBody"/>
      </w:pPr>
      <w:r>
        <w:rPr>
          <w:b w:val="off"/>
          <w:i w:val="off"/>
        </w:rPr>
        <w:t>The renewal is conditional upon satisfaction of the following conditions precedent, each in form and substance satisfactory to the Bank:</w:t>
      </w:r>
    </w:p>
    <w:p>
      <w:r>
        <w:rPr>
          <w:b w:val="off"/>
          <w:i w:val="off"/>
        </w:rPr>
        <w:t>Executed renewal confirmation returned by the renewal date</w:t>
      </w:r>
    </w:p>
    <w:p>
      <w:r>
        <w:rPr>
          <w:b w:val="off"/>
          <w:i w:val="off"/>
        </w:rPr>
        <w:t>Updated compliance certificate delivered within 30 days of the renewal date</w:t>
      </w:r>
    </w:p>
    <w:p>
      <w:r>
        <w:rPr>
          <w:b w:val="off"/>
          <w:i w:val="off"/>
        </w:rPr>
        <w:t>Satisfactory KYC/AML refresh for the Borrower and each Obligor</w:t>
      </w:r>
    </w:p>
    <w:p>
      <w:r>
        <w:rPr>
          <w:b w:val="off"/>
          <w:i w:val="off"/>
        </w:rPr>
        <w:t>Payment of all fees and expenses due under the Finance Documents</w:t>
      </w:r>
    </w:p>
    <w:p>
      <w:pPr>
        <w:sectPr>
          <w:type w:val="nextPage"/>
          <w:pgNumType w:start="1"/>
        </w:sectPr>
      </w:pPr>
    </w:p>
    <w:p>
      <w:pPr>
        <w:jc w:val="left"/>
      </w:pPr>
      <w:r>
        <w:rPr>
          <w:b w:val="on"/>
          <w:sz w:val="24"/>
        </w:rPr>
        <w:t>KYC and AML Requirements</w:t>
      </w:r>
    </w:p>
    <w:p>
      <w:pPr>
        <w:pStyle w:val="Heading2"/>
      </w:pPr>
      <w:r>
        <w:rPr>
          <w:b w:val="on"/>
          <w:i w:val="off"/>
        </w:rPr>
        <w:t xml:space="preserve">1 </w:t>
      </w:r>
      <w:r>
        <w:rPr>
          <w:b w:val="off"/>
          <w:i w:val="off"/>
        </w:rPr>
        <w:t>KYC and AML Requirements</w:t>
      </w:r>
    </w:p>
    <w:p>
      <w:pPr>
        <w:pStyle w:val="BodyText"/>
      </w:pPr>
      <w:r>
        <w:rPr>
          <w:b w:val="off"/>
          <w:i w:val="off"/>
        </w:rPr>
        <w:t>This renewal confirmation is issued pursuant to, and forms part of, the facility agreement. The renewal is subject to there being no material adverse change in your financial condition or that of the Group between the review date and the renewal date, and to the continued satisfaction of all know-your-customer, anti-money-laundering and sanctions requirements.</w:t>
      </w:r>
    </w:p>
    <w:p>
      <w:pPr>
        <w:pStyle w:val="BodyText"/>
      </w:pPr>
      <w:r>
        <w:rPr>
          <w:b w:val="off"/>
          <w:i w:val="off"/>
        </w:rPr>
        <w:t>Please execute and return the enclosed renewal confirmation by the renewal date stated above to avoid interruption of availability. Failure to return the executed confirmation by the renewal date may, at the Bank''s discretion, result in suspension of further utilisations pending execution.</w:t>
      </w:r>
    </w:p>
    <w:p>
      <w:pPr>
        <w:pStyle w:val="BodyText"/>
      </w:pPr>
      <w:r>
        <w:rPr>
          <w:b w:val="off"/>
          <w:i w:val="off"/>
        </w:rPr>
        <w:t>All representations, undertakings, financial covenants, events of default and other terms of the facility agreement remain in full force and effect and are deemed to be repeated on the renewal date, save as expressly varied by the renewed terms set out herein. No variation of the facility agreement is effective unless recorded in writing and signed by an authorised signatory of the Bank.</w:t>
      </w:r>
    </w:p>
    <w:p>
      <w:pPr>
        <w:pStyle w:val="BodyText"/>
      </w:pPr>
      <w:r>
        <w:rPr>
          <w:b w:val="off"/>
          <w:i w:val="off"/>
        </w:rPr>
        <w:t>This renewal does not constitute a fresh commitment or a new facility; it extends the term of the existing Facility on the terms set out herein. The Facility shall continue to be governed by, and construed in accordance with, the governing law specified in the facility agreement.</w:t>
      </w:r>
    </w:p>
    <w:p>
      <w:pPr>
        <w:sectPr>
          <w:type w:val="nextPage"/>
          <w:pgNumType w:start="1"/>
        </w:sectPr>
      </w:pPr>
    </w:p>
    <w:p>
      <w:pPr>
        <w:jc w:val="left"/>
      </w:pPr>
      <w:r>
        <w:rPr>
          <w:b w:val="on"/>
          <w:sz w:val="24"/>
        </w:rPr>
        <w:t>Covenant Compliance Schedule</w:t>
      </w:r>
    </w:p>
    <w:p>
      <w:pPr>
        <w:pStyle w:val="Heading2"/>
      </w:pPr>
      <w:r>
        <w:rPr>
          <w:b w:val="on"/>
          <w:i w:val="off"/>
        </w:rPr>
        <w:t xml:space="preserve">1 </w:t>
      </w:r>
      <w:r>
        <w:rPr>
          <w:b w:val="off"/>
          <w:i w:val="off"/>
        </w:rPr>
        <w:t>Covenant Compliance Schedule</w:t>
      </w:r>
    </w:p>
    <w:p>
      <w:pPr>
        <w:pStyle w:val="ClauseBody"/>
      </w:pPr>
      <w:r>
        <w:rPr>
          <w:b w:val="off"/>
          <w:i w:val="off"/>
        </w:rPr>
        <w:t>Covenant compliance as at the Review Date (</w:t>
      </w:r>
      <w:r>
        <w:rPr>
          <w:b w:val="off"/>
          <w:i w:val="off"/>
        </w:rPr>
        <w:t>2026-06-30</w:t>
      </w:r>
      <w:r>
        <w:rPr>
          <w:b w:val="off"/>
          <w:i w:val="off"/>
        </w:rPr>
        <w:t>):</w:t>
      </w:r>
    </w:p>
    <w:p/>
    <w:p>
      <w:pPr>
        <w:sectPr>
          <w:type w:val="nextPage"/>
          <w:pgNumType w:start="1"/>
        </w:sectPr>
      </w:pPr>
    </w:p>
    <w:p>
      <w:pPr>
        <w:jc w:val="left"/>
      </w:pPr>
      <w:r>
        <w:rPr>
          <w:b w:val="on"/>
          <w:sz w:val="24"/>
        </w:rPr>
        <w:t>Governing Law</w:t>
      </w:r>
    </w:p>
    <w:p>
      <w:pPr>
        <w:pStyle w:val="Heading2"/>
      </w:pPr>
      <w:r>
        <w:rPr>
          <w:b w:val="on"/>
          <w:i w:val="off"/>
        </w:rPr>
        <w:t xml:space="preserve">1 </w:t>
      </w:r>
      <w:r>
        <w:rPr>
          <w:b w:val="off"/>
          <w:i w:val="off"/>
        </w:rPr>
        <w:t>Governing Law</w:t>
      </w:r>
    </w:p>
    <w:p>
      <w:pPr>
        <w:pStyle w:val="ClauseBody"/>
      </w:pPr>
      <w:r>
        <w:rPr>
          <w:b w:val="off"/>
          <w:i w:val="off"/>
        </w:rPr>
        <w:t xml:space="preserve">This renewal confirmation and any non-contractual obligations arising out of or in connection with it are governed by, and construed in accordance with, </w:t>
      </w:r>
      <w:r>
        <w:rPr>
          <w:b w:val="on"/>
          <w:i w:val="off"/>
        </w:rPr>
        <w:t>the laws of England and Wales</w:t>
      </w:r>
      <w:r>
        <w:rPr>
          <w:b w:val="off"/>
          <w:i w:val="off"/>
        </w:rPr>
        <w:t>.</w:t>
      </w:r>
    </w:p>
    <w:p>
      <w:pPr>
        <w:sectPr>
          <w:type w:val="nextPage"/>
          <w:pgNumType w:start="1"/>
        </w:sectPr>
      </w:pPr>
    </w:p>
    <w:p>
      <w:pPr>
        <w:jc w:val="left"/>
      </w:pPr>
      <w:r>
        <w:rPr>
          <w:b w:val="on"/>
          <w:sz w:val="24"/>
        </w:rPr>
        <w:t>Authorised Signatory</w:t>
      </w:r>
    </w:p>
    <w:p>
      <w:pPr>
        <w:pStyle w:val="ClauseBody"/>
      </w:pPr>
      <w:r>
        <w:rPr>
          <w:b w:val="off"/>
          <w:i w:val="off"/>
        </w:rPr>
        <w:t xml:space="preserve">For and on behalf of </w:t>
      </w:r>
      <w:r>
        <w:rPr>
          <w:b w:val="off"/>
          <w:i w:val="off"/>
        </w:rPr>
        <w:t>Meridian Global Banking Corporation</w:t>
      </w:r>
      <w:r>
        <w:rPr>
          <w:b w:val="off"/>
          <w:i w:val="off"/>
        </w:rPr>
        <w:t>:</w:t>
      </w:r>
    </w:p>
    <w:p>
      <w:pPr>
        <w:pStyle w:val="SignatureBlock"/>
      </w:pPr>
      <w:r>
        <w:rPr>
          <w:b w:val="off"/>
          <w:i w:val="off"/>
        </w:rPr>
        <w:t>_____________________________</w:t>
      </w:r>
    </w:p>
    <w:p>
      <w:pPr>
        <w:pStyle w:val="SignatureBlock"/>
      </w:pPr>
      <w:r>
        <w:rPr>
          <w:b w:val="on"/>
          <w:i w:val="off"/>
        </w:rPr>
        <w:t>Jonathan A. Whitmore</w:t>
      </w:r>
    </w:p>
    <w:p>
      <w:pPr>
        <w:pStyle w:val="SignatureBlock"/>
      </w:pPr>
      <w:r>
        <w:rPr>
          <w:b w:val="off"/>
          <w:i w:val="off"/>
        </w:rPr>
        <w:t>Director, Corporate Credit — Wholesale Banking</w:t>
      </w:r>
    </w:p>
    <w:p>
      <w:pPr>
        <w:pStyle w:val="SignatureBlock"/>
      </w:pPr>
      <w:r>
        <w:rPr>
          <w:b w:val="off"/>
          <w:i w:val="off"/>
        </w:rPr>
        <w:t>25 Lombard Street, London EC3V 9AA, United Kingdom</w:t>
      </w:r>
    </w:p>
    <w:p>
      <w:pPr>
        <w:numPr>
          <w:ilvl w:val="0"/>
          <w:numId w:val="1"/>
        </w:numPr>
      </w:pPr>
      <w:r>
        <w:rPr>
          <w:b w:val="off"/>
          <w:i w:val="off"/>
        </w:rPr>
        <w:t xml:space="preserve">Pricing: Margin of </w:t>
      </w:r>
      <w:r>
        <w:rPr>
          <w:b w:val="on"/>
          <w:i w:val="off"/>
        </w:rPr>
        <w:t>175</w:t>
      </w:r>
      <w:r>
        <w:rPr>
          <w:b w:val="on"/>
          <w:i w:val="off"/>
        </w:rPr>
        <w:t xml:space="preserve"> bps</w:t>
      </w:r>
      <w:r>
        <w:rPr>
          <w:b w:val="off"/>
          <w:i w:val="off"/>
        </w:rPr>
        <w:t xml:space="preserve"> over </w:t>
      </w:r>
      <w:r>
        <w:rPr>
          <w:b w:val="off"/>
          <w:i w:val="off"/>
        </w:rPr>
        <w:t>SONIA (compounded in arrears)</w:t>
      </w:r>
      <w:r>
        <w:rPr>
          <w:b w:val="off"/>
          <w:i w:val="off"/>
        </w:rPr>
        <w:t>, subject to annual review.</w:t>
      </w:r>
    </w:p>
    <w:p>
      <w:pPr>
        <w:numPr>
          <w:ilvl w:val="0"/>
          <w:numId w:val="1"/>
        </w:numPr>
      </w:pPr>
      <w:r>
        <w:rPr>
          <w:b w:val="off"/>
          <w:i w:val="off"/>
        </w:rPr>
        <w:t>Security arrangements continue unchanged unless notified separately in writing by the Bank.</w:t>
      </w:r>
    </w:p>
    <w:p>
      <w:pPr>
        <w:numPr>
          <w:ilvl w:val="0"/>
          <w:numId w:val="1"/>
        </w:numPr>
      </w:pPr>
      <w:r>
        <w:rPr>
          <w:b w:val="off"/>
          <w:i w:val="off"/>
        </w:rPr>
        <w:t>All other terms of the facility agreement continue in full force and effect, save as expressly varied by this renewal.</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Corporate Credit</w:t>
    </w:r>
  </w:p>
  <w:p>
    <w:pPr>
      <w:jc w:val="right"/>
    </w:pPr>
    <w:r>
      <w:rPr>
        <w:b w:val="on"/>
        <w:sz w:val="14"/>
        <w:color w:val="990000"/>
      </w:rPr>
      <w:t>STRICTLY PRIVATE AND CONFIDENTIAL</w:t>
    </w:r>
  </w:p>
</w:hdr>
</file>

<file path=word/numbering.xml><?xml version="1.0" encoding="utf-8"?>
<w:numbering xmlns:w="http://schemas.openxmlformats.org/wordprocessingml/2006/main">
  <w:abstractNum w:abstractNumId="1">
    <w:lvl w:ilvl="0">
      <w:start w:val="1"/>
      <w:numFmt w:val="decimal"/>
      <w:lvlText w:val="%1."/>
      <w:lvlJc w:val="left"/>
    </w:lvl>
  </w:abstractNum>
  <w:num w:numId="1">
    <w:abstractNumId w:val="1"/>
  </w:num>
</w:numbering>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2026-07-20T10:06:24Z</dcterms:created>
  <dc:creator>Apache POI</dc:creator>
</cp:coreProperties>
</file>