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Private Wealth Investment Statement</w:t>
      </w:r>
    </w:p>
    <w:p>
      <w:pPr>
        <w:pStyle w:val="ClauseBody"/>
      </w:pPr>
      <w:r>
        <w:drawing>
          <wp:inline distT="0" distR="0" distB="0" distL="0">
            <wp:extent cx="609600" cy="609600"/>
            <wp:docPr id="0" name="Drawing 0" descr="IMG-1.png"/>
            <a:graphic xmlns:a="http://schemas.openxmlformats.org/drawingml/2006/main">
              <a:graphicData uri="http://schemas.openxmlformats.org/drawingml/2006/picture">
                <pic:pic xmlns:pic="http://schemas.openxmlformats.org/drawingml/2006/picture">
                  <pic:nvPicPr>
                    <pic:cNvPr id="0" name="Picture 0"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Statement Date: </w:t>
      </w:r>
      <w:r>
        <w:rPr>
          <w:b w:val="off"/>
          <w:i w:val="off"/>
        </w:rPr>
        <w:t>2026-06-30</w:t>
      </w:r>
    </w:p>
    <w:p>
      <w:pPr>
        <w:pStyle w:val="ClauseBody"/>
      </w:pPr>
      <w:r>
        <w:rPr>
          <w:b w:val="off"/>
          <w:i w:val="off"/>
        </w:rPr>
        <w:t xml:space="preserve">Our ref: </w:t>
      </w:r>
      <w:r>
        <w:rPr>
          <w:b w:val="off"/>
          <w:i w:val="off"/>
        </w:rPr>
        <w:t>PWM-CLIENT-44821</w:t>
      </w:r>
    </w:p>
    <w:p>
      <w:pPr>
        <w:pStyle w:val="ClauseBody"/>
      </w:pPr>
      <w:r>
        <w:rPr>
          <w:b w:val="off"/>
          <w:i w:val="off"/>
        </w:rPr>
        <w:t xml:space="preserve">To: </w:t>
      </w:r>
      <w:r>
        <w:rPr>
          <w:b w:val="on"/>
          <w:i w:val="off"/>
        </w:rPr>
        <w:t>The Lord &amp; Lady Ashford Family Trust</w:t>
      </w:r>
    </w:p>
    <w:p>
      <w:pPr>
        <w:pStyle w:val="ClauseBody"/>
      </w:pPr>
      <w:r>
        <w:rPr>
          <w:b w:val="off"/>
          <w:i w:val="off"/>
        </w:rPr>
        <w:t>c/o Ashford Chambers, 14 Berkeley Square, London W1J 6BR</w:t>
      </w:r>
    </w:p>
    <w:p>
      <w:pPr>
        <w:pStyle w:val="ClauseBody"/>
      </w:pPr>
      <w:r>
        <w:rPr>
          <w:b w:val="off"/>
          <w:i w:val="off"/>
        </w:rPr>
        <w:t>Dear Valued Client,</w:t>
      </w:r>
    </w:p>
    <w:p>
      <w:pPr>
        <w:pStyle w:val="ClauseBody"/>
      </w:pPr>
      <w:r>
        <w:rPr>
          <w:b w:val="off"/>
          <w:i w:val="off"/>
        </w:rPr>
        <w:t xml:space="preserve">Re: Private Wealth Investment Statement — Portfolio Reference </w:t>
      </w:r>
      <w:r>
        <w:rPr>
          <w:b w:val="off"/>
          <w:i w:val="off"/>
          <w:u w:val="single"/>
        </w:rPr>
        <w:t>PWM-UK-2026-44821</w:t>
      </w:r>
    </w:p>
    <w:p>
      <w:pPr>
        <w:pStyle w:val="ClauseBody"/>
      </w:pPr>
      <w:r>
        <w:rPr>
          <w:b w:val="off"/>
          <w:i w:val="off"/>
        </w:rPr>
        <w:t xml:space="preserve">We, </w:t>
      </w:r>
      <w:r>
        <w:rPr>
          <w:b w:val="on"/>
          <w:i w:val="off"/>
        </w:rPr>
        <w:t>Meridian Private Wealth</w:t>
      </w:r>
      <w:r>
        <w:rPr>
          <w:b w:val="off"/>
          <w:i w:val="off"/>
        </w:rPr>
        <w:t xml:space="preserve"> of </w:t>
      </w:r>
      <w:r>
        <w:rPr>
          <w:b w:val="off"/>
          <w:i w:val="off"/>
        </w:rPr>
        <w:t>1 St James's Square, London SW1Y 4JU, United Kingdom</w:t>
      </w:r>
      <w:r>
        <w:rPr>
          <w:b w:val="off"/>
          <w:i w:val="off"/>
        </w:rPr>
        <w:t xml:space="preserve"> (the Bank), are pleased to provide your Private Wealth Investment Statement for the period </w:t>
      </w:r>
      <w:r>
        <w:rPr>
          <w:b w:val="off"/>
          <w:i w:val="off"/>
        </w:rPr>
        <w:t>1 January 2026 to 30 June 2026 (H1 2026)</w:t>
      </w:r>
      <w:r>
        <w:rPr>
          <w:b w:val="off"/>
          <w:i w:val="off"/>
        </w:rPr>
        <w:t>, prepared in our capacity as investment manager and custodian.</w:t>
      </w:r>
    </w:p>
    <w:p>
      <w:pPr>
        <w:pStyle w:val="ClauseBody"/>
      </w:pPr>
      <w:r>
        <w:rPr>
          <w:b w:val="off"/>
          <w:i w:val="off"/>
        </w:rPr>
        <w:t xml:space="preserve">Custodian: </w:t>
      </w:r>
      <w:r>
        <w:rPr>
          <w:b w:val="off"/>
          <w:i w:val="off"/>
        </w:rPr>
        <w:t>Meridian Private Wealth Custody Ltd</w:t>
      </w:r>
    </w:p>
    <w:p>
      <w:pPr>
        <w:pStyle w:val="ClauseBody"/>
      </w:pPr>
      <w:r>
        <w:rPr>
          <w:b w:val="off"/>
          <w:i w:val="off"/>
        </w:rPr>
        <w:t xml:space="preserve">Offshore custody: Certain holdings are held through </w:t>
      </w:r>
      <w:r>
        <w:rPr>
          <w:b w:val="on"/>
          <w:i w:val="off"/>
        </w:rPr>
        <w:t>Meridian Private Wealth (Jersey) Ltd</w:t>
      </w:r>
      <w:r>
        <w:rPr>
          <w:b w:val="off"/>
          <w:i w:val="off"/>
        </w:rPr>
        <w:t xml:space="preserve"> in accordance with the offshore custody agreement governing your account.</w:t>
      </w:r>
    </w:p>
    <w:p>
      <w:pPr>
        <w:pStyle w:val="ClauseBody"/>
      </w:pPr>
      <w:r>
        <w:rPr>
          <w:b w:val="off"/>
          <w:i w:val="off"/>
        </w:rPr>
        <w:t xml:space="preserve">Your relationship manager is </w:t>
      </w:r>
      <w:r>
        <w:rPr>
          <w:b w:val="off"/>
          <w:i w:val="off"/>
        </w:rPr>
        <w:t>Charles Pemberton-Smythe</w:t>
      </w:r>
      <w:r>
        <w:rPr>
          <w:b w:val="off"/>
          <w:i w:val="off"/>
        </w:rPr>
        <w:t xml:space="preserve"> (tel: </w:t>
      </w:r>
      <w:r>
        <w:rPr>
          <w:b w:val="off"/>
          <w:i w:val="off"/>
        </w:rPr>
        <w:t>+44 20 7946 0823</w:t>
      </w:r>
      <w:r>
        <w:rPr>
          <w:b w:val="off"/>
          <w:i w:val="off"/>
        </w:rPr>
        <w:t xml:space="preserve">; email: </w:t>
      </w:r>
      <w:r>
        <w:rPr>
          <w:b w:val="off"/>
          <w:i w:val="off"/>
        </w:rPr>
        <w:t>charles.pemberton-smythe@meridian-private.example</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"Portfolio"</w:t>
      </w:r>
      <w:r>
        <w:rPr>
          <w:b w:val="off"/>
          <w:i w:val="off"/>
        </w:rPr>
        <w:t xml:space="preserve"> means the investment portfolio identified by reference </w:t>
      </w:r>
      <w:r>
        <w:rPr>
          <w:b w:val="off"/>
          <w:i w:val="off"/>
          <w:u w:val="single"/>
        </w:rPr>
        <w:t>PWM-UK-2026-44821</w:t>
      </w:r>
      <w:r>
        <w:rPr>
          <w:b w:val="off"/>
          <w:i w:val="off"/>
        </w:rPr>
        <w:t xml:space="preserve"> held in custody on your behalf as at the statement date.</w:t>
      </w:r>
    </w:p>
    <w:p>
      <w:pPr>
        <w:pStyle w:val="DefinedTerm"/>
      </w:pPr>
      <w:r>
        <w:rPr>
          <w:b w:val="off"/>
          <w:i w:val="off"/>
        </w:rPr>
        <w:t>"Statement Period"</w:t>
      </w:r>
      <w:r>
        <w:rPr>
          <w:b w:val="off"/>
          <w:i w:val="off"/>
        </w:rPr>
        <w:t xml:space="preserve"> means </w:t>
      </w:r>
      <w:r>
        <w:rPr>
          <w:b w:val="off"/>
          <w:i w:val="off"/>
        </w:rPr>
        <w:t>1 January 2026 to 30 June 2026 (H1 2026)</w:t>
      </w:r>
      <w:r>
        <w:rPr>
          <w:b w:val="off"/>
          <w:i w:val="off"/>
        </w:rPr>
        <w:t>.</w:t>
      </w:r>
    </w:p>
    <w:p>
      <w:pPr>
        <w:pStyle w:val="DefinedTerm"/>
      </w:pPr>
      <w:r>
        <w:rPr>
          <w:b w:val="off"/>
          <w:i w:val="off"/>
        </w:rPr>
        <w:t>"Base Currency"</w:t>
      </w:r>
      <w:r>
        <w:rPr>
          <w:b w:val="off"/>
          <w:i w:val="off"/>
        </w:rPr>
        <w:t xml:space="preserve"> means </w:t>
      </w:r>
      <w:r>
        <w:rPr>
          <w:b w:val="on"/>
          <w:i w:val="off"/>
        </w:rPr>
        <w:t>GBP</w:t>
      </w:r>
      <w:r>
        <w:rPr>
          <w:b w:val="off"/>
          <w:i w:val="off"/>
        </w:rPr>
        <w:t>, being the currency in which portfolio values are aggregated for display purposes unless otherwise indicated.</w:t>
      </w:r>
    </w:p>
    <w:p>
      <w:pPr>
        <w:pStyle w:val="DefinedTerm"/>
      </w:pPr>
      <w:r>
        <w:rPr>
          <w:b w:val="off"/>
          <w:i w:val="off"/>
        </w:rPr>
        <w:t>"Net Asset Value" or "NAV"</w:t>
      </w:r>
      <w:r>
        <w:rPr>
          <w:b w:val="off"/>
          <w:i w:val="off"/>
        </w:rPr>
        <w:t xml:space="preserve"> means the aggregate market value of all holdings plus cash balances, less any liabilities, expressed in the Base Currency as at the statement date.</w:t>
      </w:r>
    </w:p>
    <w:p>
      <w:pPr>
        <w:pStyle w:val="DefinedTerm"/>
      </w:pPr>
      <w:r>
        <w:rPr>
          <w:b w:val="off"/>
          <w:i w:val="off"/>
        </w:rPr>
        <w:t>"Market Value"</w:t>
      </w:r>
      <w:r>
        <w:rPr>
          <w:b w:val="off"/>
          <w:i w:val="off"/>
        </w:rPr>
        <w:t xml:space="preserve"> means the value of a holding determined by reference to the closing market price on the statement date, or such other valuation methodology as described in the Important Notices section.</w:t>
      </w:r>
    </w:p>
    <w:p>
      <w:pPr>
        <w:pStyle w:val="DefinedTerm"/>
      </w:pPr>
      <w:r>
        <w:rPr>
          <w:b w:val="off"/>
          <w:i w:val="off"/>
        </w:rPr>
        <w:t>"Unrealised Gain/Loss"</w:t>
      </w:r>
      <w:r>
        <w:rPr>
          <w:b w:val="off"/>
          <w:i w:val="off"/>
        </w:rPr>
        <w:t xml:space="preserve"> means the difference between the cost basis and the current market value of holdings, and does not represent a realised profit or loss until disposal.</w:t>
      </w:r>
    </w:p>
    <w:p>
      <w:pPr>
        <w:sectPr>
          <w:type w:val="nextPage"/>
          <w:pgNumType w:start="1"/>
        </w:sectPr>
      </w:pPr>
    </w:p>
    <w:p>
      <w:pPr>
        <w:jc w:val="left"/>
      </w:pPr>
      <w:r>
        <w:rPr>
          <w:b w:val="on"/>
          <w:sz w:val="24"/>
        </w:rPr>
        <w:t>Portfolio Summary</w:t>
      </w:r>
    </w:p>
    <w:p>
      <w:pPr>
        <w:pStyle w:val="Heading2"/>
      </w:pPr>
      <w:r>
        <w:rPr>
          <w:b w:val="on"/>
          <w:i w:val="off"/>
        </w:rPr>
        <w:t xml:space="preserve">1 </w:t>
      </w:r>
      <w:r>
        <w:rPr>
          <w:b w:val="off"/>
          <w:i w:val="off"/>
        </w:rPr>
        <w:t>Portfolio Summary</w:t>
      </w:r>
    </w:p>
    <w:p>
      <w:pPr>
        <w:pStyle w:val="ClauseBody"/>
      </w:pPr>
      <w:r>
        <w:rPr>
          <w:b w:val="off"/>
          <w:i w:val="off"/>
        </w:rPr>
        <w:t xml:space="preserve">The following summary presents the aggregate position of your Portfolio as at </w:t>
      </w:r>
      <w:r>
        <w:rPr>
          <w:b w:val="off"/>
          <w:i w:val="off"/>
        </w:rPr>
        <w:t>2026-06-30</w:t>
      </w:r>
      <w:r>
        <w:rPr>
          <w:b w:val="off"/>
          <w:i w:val="off"/>
        </w:rPr>
        <w:t xml:space="preserve">. All amounts are expressed in </w:t>
      </w:r>
      <w:r>
        <w:rPr>
          <w:b w:val="off"/>
          <w:i w:val="off"/>
        </w:rPr>
        <w:t>GBP</w:t>
      </w:r>
      <w:r>
        <w:rPr>
          <w:b w:val="off"/>
          <w:i w:val="off"/>
        </w:rPr>
        <w:t xml:space="preserve"> unless otherwise stated.</w:t>
      </w:r>
    </w:p>
    <w:p/>
    <w:p>
      <w:pPr>
        <w:pStyle w:val="BodyText"/>
      </w:pPr>
      <w:r>
        <w:rPr>
          <w:b w:val="off"/>
          <w:i w:val="off"/>
        </w:rPr>
        <w:t>This statement summarises the holdings held in custody on your behalf as at the statement date. It is provided for information purposes and does not constitute investment advice, an offer to sell or a solicitation of an offer to buy any securities or investment products. All values are expressed in the base currency unless otherwise indicated.</w:t>
      </w:r>
    </w:p>
    <w:p>
      <w:pPr>
        <w:pStyle w:val="BodyText"/>
      </w:pPr>
      <w:r>
        <w:rPr>
          <w:b w:val="off"/>
          <w:i w:val="off"/>
        </w:rPr>
        <w:t>Foreign currency holdings are converted at the prevailing exchange rate on the statement date for display purposes only. Actual settlement amounts may differ from the values shown. Corporate actions, pending trades and accrued income items may not be fully reflected until settlement completes.</w:t>
      </w:r>
    </w:p>
    <w:p>
      <w:pPr>
        <w:pStyle w:val="BodyText"/>
      </w:pPr>
      <w:r>
        <w:rPr>
          <w:b w:val="off"/>
          <w:i w:val="off"/>
        </w:rPr>
        <w:t>Market prices are sourced from recognised exchanges and pricing services as at close of business on the statement date. For unlisted or illiquid instruments, valuations are based on the most recent available independent appraisal or, in the absence of such appraisal, the last known transaction price.</w:t>
      </w:r>
    </w:p>
    <w:p>
      <w:pPr>
        <w:pStyle w:val="BodyText"/>
      </w:pPr>
      <w:r>
        <w:rPr>
          <w:b w:val="off"/>
          <w:i w:val="off"/>
        </w:rPr>
        <w:t>Income received during the statement period includes dividends, coupon payments, interest distributions and any other income credited to your account, net of any withholding tax or charges applied at source.</w:t>
      </w:r>
    </w:p>
    <w:p>
      <w:pPr>
        <w:pStyle w:val="BodyText"/>
      </w:pPr>
      <w:r>
        <w:rPr>
          <w:b w:val="off"/>
          <w:i w:val="off"/>
        </w:rPr>
        <w:t>The unrealised gain or loss shown represents the difference between the cost basis and the current market value of your holdings. Past performance is not indicative of future results. The value of investments and income from them may go down as well as up, and you may not get back the amount originally invested.</w:t>
      </w:r>
    </w:p>
    <w:p>
      <w:pPr>
        <w:pStyle w:val="BodyText"/>
      </w:pPr>
      <w:r>
        <w:rPr>
          <w:b w:val="off"/>
          <w:i w:val="off"/>
        </w:rPr>
        <w:t>Custody: The assets shown in this statement are held by the custodian named above in accordance with the custody agreement governing your account. The custodian acts as agent and is not responsible for any loss arising from the default of any third party.</w:t>
      </w:r>
    </w:p>
    <w:tbl>
      <w:tblPr>
        <w:tblW w:w="0" w:type="auto"/>
        <w:tblBorders>
          <w:top w:val="single"/>
          <w:left w:val="single"/>
          <w:bottom w:val="single"/>
          <w:right w:val="single"/>
          <w:insideH w:val="single"/>
          <w:insideV w:val="single"/>
        </w:tblBorders>
      </w:tblPr>
      <w:tr>
        <w:tc>
          <w:p>
            <w:pPr>
              <w:pStyle w:val="TableHeader"/>
            </w:pPr>
            <w:r>
              <w:rPr>
                <w:b w:val="on"/>
                <w:i w:val="off"/>
              </w:rPr>
              <w:t>Portfolio Metric</w:t>
            </w:r>
          </w:p>
        </w:tc>
        <w:tc>
          <w:p>
            <w:pPr>
              <w:pStyle w:val="TableHeader"/>
            </w:pPr>
            <w:r>
              <w:rPr>
                <w:b w:val="on"/>
                <w:i w:val="off"/>
              </w:rPr>
              <w:t>Amount</w:t>
            </w:r>
          </w:p>
        </w:tc>
      </w:tr>
      <w:tr>
        <w:tc>
          <w:p>
            <w:r>
              <w:rPr>
                <w:b w:val="off"/>
                <w:i w:val="off"/>
              </w:rPr>
              <w:t>Cash balance</w:t>
            </w:r>
          </w:p>
        </w:tc>
        <w:tc>
          <w:p>
            <w:r>
              <w:rPr>
                <w:b w:val="off"/>
                <w:i w:val="off"/>
              </w:rPr>
              <w:t>142,380.00</w:t>
            </w:r>
          </w:p>
        </w:tc>
      </w:tr>
      <w:tr>
        <w:tc>
          <w:p>
            <w:r>
              <w:rPr>
                <w:b w:val="off"/>
                <w:i w:val="off"/>
              </w:rPr>
              <w:t>Total market value (investments)</w:t>
            </w:r>
          </w:p>
        </w:tc>
        <w:tc>
          <w:p>
            <w:r>
              <w:rPr>
                <w:b w:val="off"/>
                <w:i w:val="off"/>
              </w:rPr>
              <w:t>2,064,120.00</w:t>
            </w:r>
          </w:p>
        </w:tc>
      </w:tr>
      <w:tr>
        <w:tc>
          <w:p>
            <w:r>
              <w:rPr>
                <w:b w:val="off"/>
                <w:i w:val="off"/>
              </w:rPr>
              <w:t>Net asset value (NAV)</w:t>
            </w:r>
          </w:p>
        </w:tc>
        <w:tc>
          <w:p>
            <w:r>
              <w:rPr>
                <w:b w:val="off"/>
                <w:i w:val="off"/>
              </w:rPr>
              <w:t>2,206,500.00</w:t>
            </w:r>
          </w:p>
        </w:tc>
      </w:tr>
    </w:tbl>
    <w:p>
      <w:pPr>
        <w:sectPr>
          <w:type w:val="nextPage"/>
          <w:pgNumType w:start="1"/>
        </w:sectPr>
      </w:pPr>
    </w:p>
    <w:p>
      <w:pPr>
        <w:jc w:val="left"/>
      </w:pPr>
      <w:r>
        <w:rPr>
          <w:b w:val="on"/>
          <w:sz w:val="24"/>
        </w:rPr>
        <w:t>Equity Holdings</w:t>
      </w:r>
    </w:p>
    <w:p>
      <w:pPr>
        <w:pStyle w:val="Heading2"/>
      </w:pPr>
      <w:r>
        <w:rPr>
          <w:b w:val="on"/>
          <w:i w:val="off"/>
        </w:rPr>
        <w:t xml:space="preserve">1 </w:t>
      </w:r>
      <w:r>
        <w:rPr>
          <w:b w:val="off"/>
          <w:i w:val="off"/>
        </w:rPr>
        <w:t>Equity Holdings</w:t>
      </w:r>
    </w:p>
    <w:p>
      <w:pPr>
        <w:pStyle w:val="ClauseBody"/>
      </w:pPr>
      <w:r>
        <w:rPr>
          <w:b w:val="off"/>
          <w:i w:val="off"/>
        </w:rPr>
        <w:t>The table below sets out the equity and equity fund holdings in your Portfolio. Weight percentages represent each holding's proportion of total NAV.</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Quantity</w:t>
            </w:r>
          </w:p>
        </w:tc>
        <w:tc>
          <w:p>
            <w:pPr>
              <w:pStyle w:val="TableHeader"/>
            </w:pPr>
            <w:r>
              <w:rPr>
                <w:b w:val="on"/>
                <w:i w:val="off"/>
              </w:rPr>
              <w:t>Market Price</w:t>
            </w:r>
          </w:p>
        </w:tc>
        <w:tc>
          <w:p>
            <w:pPr>
              <w:pStyle w:val="TableHeader"/>
            </w:pPr>
            <w:r>
              <w:rPr>
                <w:b w:val="on"/>
                <w:i w:val="off"/>
              </w:rPr>
              <w:t>Market Value</w:t>
            </w:r>
          </w:p>
        </w:tc>
        <w:tc>
          <w:p>
            <w:pPr>
              <w:pStyle w:val="TableHeader"/>
            </w:pPr>
            <w:r>
              <w:rPr>
                <w:b w:val="on"/>
                <w:i w:val="off"/>
              </w:rPr>
              <w:t>Weight %</w:t>
            </w:r>
          </w:p>
        </w:tc>
      </w:tr>
      <w:tr>
        <w:tc>
          <w:p>
            <w:r>
              <w:rPr>
                <w:b w:val="off"/>
                <w:i w:val="off"/>
              </w:rPr>
              <w:t>Meridian Global Equity Fund (Accumulation)</w:t>
            </w:r>
          </w:p>
        </w:tc>
        <w:tc>
          <w:p>
            <w:r>
              <w:rPr>
                <w:b w:val="off"/>
                <w:i w:val="off"/>
              </w:rPr>
              <w:t>12,500</w:t>
            </w:r>
          </w:p>
        </w:tc>
        <w:tc>
          <w:p>
            <w:r>
              <w:rPr>
                <w:b w:val="off"/>
                <w:i w:val="off"/>
              </w:rPr>
              <w:t>GBP 18.42</w:t>
            </w:r>
          </w:p>
        </w:tc>
        <w:tc>
          <w:p>
            <w:r>
              <w:rPr>
                <w:b w:val="off"/>
                <w:i w:val="off"/>
              </w:rPr>
              <w:t>GBP 230,250.00</w:t>
            </w:r>
          </w:p>
        </w:tc>
        <w:tc>
          <w:p>
            <w:r>
              <w:rPr>
                <w:b w:val="off"/>
                <w:i w:val="off"/>
              </w:rPr>
              <w:t>10.4%</w:t>
            </w:r>
          </w:p>
        </w:tc>
      </w:tr>
      <w:tr>
        <w:tc>
          <w:p>
            <w:r>
              <w:rPr>
                <w:b w:val="off"/>
                <w:i w:val="off"/>
              </w:rPr>
              <w:t>Apple Inc. (AAPL) — NASDAQ</w:t>
            </w:r>
          </w:p>
        </w:tc>
        <w:tc>
          <w:p>
            <w:r>
              <w:rPr>
                <w:b w:val="off"/>
                <w:i w:val="off"/>
              </w:rPr>
              <w:t>2,400</w:t>
            </w:r>
          </w:p>
        </w:tc>
        <w:tc>
          <w:p>
            <w:r>
              <w:rPr>
                <w:b w:val="off"/>
                <w:i w:val="off"/>
              </w:rPr>
              <w:t>USD 198.50</w:t>
            </w:r>
          </w:p>
        </w:tc>
        <w:tc>
          <w:p>
            <w:r>
              <w:rPr>
                <w:b w:val="off"/>
                <w:i w:val="off"/>
              </w:rPr>
              <w:t>USD 476,400.00</w:t>
            </w:r>
          </w:p>
        </w:tc>
        <w:tc>
          <w:p>
            <w:r>
              <w:rPr>
                <w:b w:val="off"/>
                <w:i w:val="off"/>
              </w:rPr>
              <w:t>17.8%</w:t>
            </w:r>
          </w:p>
        </w:tc>
      </w:tr>
      <w:tr>
        <w:tc>
          <w:p>
            <w:r>
              <w:rPr>
                <w:b w:val="off"/>
                <w:i w:val="off"/>
              </w:rPr>
              <w:t>Rolls-Royce Holdings plc (RR.) — LSE</w:t>
            </w:r>
          </w:p>
        </w:tc>
        <w:tc>
          <w:p>
            <w:r>
              <w:rPr>
                <w:b w:val="off"/>
                <w:i w:val="off"/>
              </w:rPr>
              <w:t>18,000</w:t>
            </w:r>
          </w:p>
        </w:tc>
        <w:tc>
          <w:p>
            <w:r>
              <w:rPr>
                <w:b w:val="off"/>
                <w:i w:val="off"/>
              </w:rPr>
              <w:t>GBP 4.21</w:t>
            </w:r>
          </w:p>
        </w:tc>
        <w:tc>
          <w:p>
            <w:r>
              <w:rPr>
                <w:b w:val="off"/>
                <w:i w:val="off"/>
              </w:rPr>
              <w:t>GBP 75,780.00</w:t>
            </w:r>
          </w:p>
        </w:tc>
        <w:tc>
          <w:p>
            <w:r>
              <w:rPr>
                <w:b w:val="off"/>
                <w:i w:val="off"/>
              </w:rPr>
              <w:t>3.4%</w:t>
            </w:r>
          </w:p>
        </w:tc>
      </w:tr>
      <w:tr>
        <w:tc>
          <w:p>
            <w:r>
              <w:rPr>
                <w:b w:val="off"/>
                <w:i w:val="off"/>
              </w:rPr>
              <w:t>LVMH Moët Hennessy (MC) — Euronext Paris</w:t>
            </w:r>
          </w:p>
        </w:tc>
        <w:tc>
          <w:p>
            <w:r>
              <w:rPr>
                <w:b w:val="off"/>
                <w:i w:val="off"/>
              </w:rPr>
              <w:t>420</w:t>
            </w:r>
          </w:p>
        </w:tc>
        <w:tc>
          <w:p>
            <w:r>
              <w:rPr>
                <w:b w:val="off"/>
                <w:i w:val="off"/>
              </w:rPr>
              <w:t>EUR 712.40</w:t>
            </w:r>
          </w:p>
        </w:tc>
        <w:tc>
          <w:p>
            <w:r>
              <w:rPr>
                <w:b w:val="off"/>
                <w:i w:val="off"/>
              </w:rPr>
              <w:t>EUR 299,208.00</w:t>
            </w:r>
          </w:p>
        </w:tc>
        <w:tc>
          <w:p>
            <w:r>
              <w:rPr>
                <w:b w:val="off"/>
                <w:i w:val="off"/>
              </w:rPr>
              <w:t>11.2%</w:t>
            </w:r>
          </w:p>
        </w:tc>
      </w:tr>
    </w:tbl>
    <w:p>
      <w:pPr>
        <w:sectPr>
          <w:type w:val="nextPage"/>
          <w:pgNumType w:start="1"/>
        </w:sectPr>
      </w:pPr>
    </w:p>
    <w:p>
      <w:pPr>
        <w:jc w:val="left"/>
      </w:pPr>
      <w:r>
        <w:rPr>
          <w:b w:val="on"/>
          <w:sz w:val="24"/>
        </w:rPr>
        <w:t>Fixed Income Holdings</w:t>
      </w:r>
    </w:p>
    <w:p>
      <w:pPr>
        <w:pStyle w:val="Heading2"/>
      </w:pPr>
      <w:r>
        <w:rPr>
          <w:b w:val="on"/>
          <w:i w:val="off"/>
        </w:rPr>
        <w:t xml:space="preserve">1 </w:t>
      </w:r>
      <w:r>
        <w:rPr>
          <w:b w:val="off"/>
          <w:i w:val="off"/>
        </w:rPr>
        <w:t>Fixed Income Holdings</w:t>
      </w:r>
    </w:p>
    <w:p>
      <w:pPr>
        <w:pStyle w:val="ClauseBody"/>
      </w:pPr>
      <w:r>
        <w:rPr>
          <w:b w:val="off"/>
          <w:i w:val="off"/>
        </w:rPr>
        <w:t>The table below sets out the fixed income and bond fund holdings in your Portfolio, including government bonds, corporate bonds and bond funds.</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Quantity / Nominal</w:t>
            </w:r>
          </w:p>
        </w:tc>
        <w:tc>
          <w:p>
            <w:pPr>
              <w:pStyle w:val="TableHeader"/>
            </w:pPr>
            <w:r>
              <w:rPr>
                <w:b w:val="on"/>
                <w:i w:val="off"/>
              </w:rPr>
              <w:t>Market Price</w:t>
            </w:r>
          </w:p>
        </w:tc>
        <w:tc>
          <w:p>
            <w:pPr>
              <w:pStyle w:val="TableHeader"/>
            </w:pPr>
            <w:r>
              <w:rPr>
                <w:b w:val="on"/>
                <w:i w:val="off"/>
              </w:rPr>
              <w:t>Market Value</w:t>
            </w:r>
          </w:p>
        </w:tc>
        <w:tc>
          <w:p>
            <w:pPr>
              <w:pStyle w:val="TableHeader"/>
            </w:pPr>
            <w:r>
              <w:rPr>
                <w:b w:val="on"/>
                <w:i w:val="off"/>
              </w:rPr>
              <w:t>Weight %</w:t>
            </w:r>
          </w:p>
        </w:tc>
      </w:tr>
      <w:tr>
        <w:tc>
          <w:p>
            <w:r>
              <w:rPr>
                <w:b w:val="off"/>
                <w:i w:val="off"/>
              </w:rPr>
              <w:t>UK Gilt 4.25% 2035</w:t>
            </w:r>
          </w:p>
        </w:tc>
        <w:tc>
          <w:p>
            <w:r>
              <w:rPr>
                <w:b w:val="off"/>
                <w:i w:val="off"/>
              </w:rPr>
              <w:t>GBP 500,000 nominal</w:t>
            </w:r>
          </w:p>
        </w:tc>
        <w:tc>
          <w:p>
            <w:r>
              <w:rPr>
                <w:b w:val="off"/>
                <w:i w:val="off"/>
              </w:rPr>
              <w:t>98.75</w:t>
            </w:r>
          </w:p>
        </w:tc>
        <w:tc>
          <w:p>
            <w:r>
              <w:rPr>
                <w:b w:val="off"/>
                <w:i w:val="off"/>
              </w:rPr>
              <w:t>GBP 493,750.00</w:t>
            </w:r>
          </w:p>
        </w:tc>
        <w:tc>
          <w:p>
            <w:r>
              <w:rPr>
                <w:b w:val="off"/>
                <w:i w:val="off"/>
              </w:rPr>
              <w:t>22.4%</w:t>
            </w:r>
          </w:p>
        </w:tc>
      </w:tr>
      <w:tr>
        <w:tc>
          <w:p>
            <w:r>
              <w:rPr>
                <w:b w:val="off"/>
                <w:i w:val="off"/>
              </w:rPr>
              <w:t>Meridian ESG Bond Fund (Income)</w:t>
            </w:r>
          </w:p>
        </w:tc>
        <w:tc>
          <w:p>
            <w:r>
              <w:rPr>
                <w:b w:val="off"/>
                <w:i w:val="off"/>
              </w:rPr>
              <w:t>85,000</w:t>
            </w:r>
          </w:p>
        </w:tc>
        <w:tc>
          <w:p>
            <w:r>
              <w:rPr>
                <w:b w:val="off"/>
                <w:i w:val="off"/>
              </w:rPr>
              <w:t>GBP 10.12</w:t>
            </w:r>
          </w:p>
        </w:tc>
        <w:tc>
          <w:p>
            <w:r>
              <w:rPr>
                <w:b w:val="off"/>
                <w:i w:val="off"/>
              </w:rPr>
              <w:t>GBP 860,200.00</w:t>
            </w:r>
          </w:p>
        </w:tc>
        <w:tc>
          <w:p>
            <w:r>
              <w:rPr>
                <w:b w:val="off"/>
                <w:i w:val="off"/>
              </w:rPr>
              <w:t>39.0%</w:t>
            </w:r>
          </w:p>
        </w:tc>
      </w:tr>
      <w:tr>
        <w:tc>
          <w:p>
            <w:r>
              <w:rPr>
                <w:b w:val="off"/>
                <w:i w:val="off"/>
              </w:rPr>
              <w:t>US Treasury 4.5% 2034</w:t>
            </w:r>
          </w:p>
        </w:tc>
        <w:tc>
          <w:p>
            <w:r>
              <w:rPr>
                <w:b w:val="off"/>
                <w:i w:val="off"/>
              </w:rPr>
              <w:t>USD 250,000 nominal</w:t>
            </w:r>
          </w:p>
        </w:tc>
        <w:tc>
          <w:p>
            <w:r>
              <w:rPr>
                <w:b w:val="off"/>
                <w:i w:val="off"/>
              </w:rPr>
              <w:t>99.12</w:t>
            </w:r>
          </w:p>
        </w:tc>
        <w:tc>
          <w:p>
            <w:r>
              <w:rPr>
                <w:b w:val="off"/>
                <w:i w:val="off"/>
              </w:rPr>
              <w:t>USD 247,800.00</w:t>
            </w:r>
          </w:p>
        </w:tc>
        <w:tc>
          <w:p>
            <w:r>
              <w:rPr>
                <w:b w:val="off"/>
                <w:i w:val="off"/>
              </w:rPr>
              <w:t>9.2%</w:t>
            </w:r>
          </w:p>
        </w:tc>
      </w:tr>
    </w:tbl>
    <w:p>
      <w:pPr>
        <w:sectPr>
          <w:type w:val="nextPage"/>
          <w:pgNumType w:start="1"/>
        </w:sectPr>
      </w:pPr>
    </w:p>
    <w:p>
      <w:pPr>
        <w:jc w:val="left"/>
      </w:pPr>
      <w:r>
        <w:rPr>
          <w:b w:val="on"/>
          <w:sz w:val="24"/>
        </w:rPr>
        <w:t>Alternative Assets</w:t>
      </w:r>
    </w:p>
    <w:p>
      <w:pPr>
        <w:pStyle w:val="Heading2"/>
      </w:pPr>
      <w:r>
        <w:rPr>
          <w:b w:val="on"/>
          <w:i w:val="off"/>
        </w:rPr>
        <w:t xml:space="preserve">1 </w:t>
      </w:r>
      <w:r>
        <w:rPr>
          <w:b w:val="off"/>
          <w:i w:val="off"/>
        </w:rPr>
        <w:t>Alternative Assets</w:t>
      </w:r>
    </w:p>
    <w:p>
      <w:pPr>
        <w:pStyle w:val="ClauseBody"/>
      </w:pPr>
      <w:r>
        <w:rPr>
          <w:b w:val="off"/>
          <w:i w:val="off"/>
        </w:rPr>
        <w:t>The table below sets out alternative asset holdings including private equity, infrastructure and other illiquid investments. Valuations for unlisted instruments are based on the most recent independent appraisal.</w:t>
      </w:r>
    </w:p>
    <w:p/>
    <w:tbl>
      <w:tblPr>
        <w:tblW w:w="0" w:type="auto"/>
        <w:tblBorders>
          <w:top w:val="single"/>
          <w:left w:val="single"/>
          <w:bottom w:val="single"/>
          <w:right w:val="single"/>
          <w:insideH w:val="single"/>
          <w:insideV w:val="single"/>
        </w:tblBorders>
      </w:tblPr>
      <w:tr>
        <w:tc>
          <w:p>
            <w:pPr>
              <w:pStyle w:val="TableHeader"/>
            </w:pPr>
            <w:r>
              <w:rPr>
                <w:b w:val="on"/>
                <w:i w:val="off"/>
              </w:rPr>
              <w:t>Instrument</w:t>
            </w:r>
          </w:p>
        </w:tc>
        <w:tc>
          <w:p>
            <w:pPr>
              <w:pStyle w:val="TableHeader"/>
            </w:pPr>
            <w:r>
              <w:rPr>
                <w:b w:val="on"/>
                <w:i w:val="off"/>
              </w:rPr>
              <w:t>Units / Shares</w:t>
            </w:r>
          </w:p>
        </w:tc>
        <w:tc>
          <w:p>
            <w:pPr>
              <w:pStyle w:val="TableHeader"/>
            </w:pPr>
            <w:r>
              <w:rPr>
                <w:b w:val="on"/>
                <w:i w:val="off"/>
              </w:rPr>
              <w:t>NAV per Unit</w:t>
            </w:r>
          </w:p>
        </w:tc>
        <w:tc>
          <w:p>
            <w:pPr>
              <w:pStyle w:val="TableHeader"/>
            </w:pPr>
            <w:r>
              <w:rPr>
                <w:b w:val="on"/>
                <w:i w:val="off"/>
              </w:rPr>
              <w:t>Market Value</w:t>
            </w:r>
          </w:p>
        </w:tc>
        <w:tc>
          <w:p>
            <w:pPr>
              <w:pStyle w:val="TableHeader"/>
            </w:pPr>
            <w:r>
              <w:rPr>
                <w:b w:val="on"/>
                <w:i w:val="off"/>
              </w:rPr>
              <w:t>Weight %</w:t>
            </w:r>
          </w:p>
        </w:tc>
      </w:tr>
      <w:tr>
        <w:tc>
          <w:p>
            <w:r>
              <w:rPr>
                <w:b w:val="off"/>
                <w:i w:val="off"/>
              </w:rPr>
              <w:t>Meridian Private Equity Fund III</w:t>
            </w:r>
          </w:p>
        </w:tc>
        <w:tc>
          <w:p>
            <w:r>
              <w:rPr>
                <w:b w:val="off"/>
                <w:i w:val="off"/>
              </w:rPr>
              <w:t>1,200 units</w:t>
            </w:r>
          </w:p>
        </w:tc>
        <w:tc>
          <w:p>
            <w:r>
              <w:rPr>
                <w:b w:val="off"/>
                <w:i w:val="off"/>
              </w:rPr>
              <w:t>GBP 125.00</w:t>
            </w:r>
          </w:p>
        </w:tc>
        <w:tc>
          <w:p>
            <w:r>
              <w:rPr>
                <w:b w:val="off"/>
                <w:i w:val="off"/>
              </w:rPr>
              <w:t>GBP 150,000.00</w:t>
            </w:r>
          </w:p>
        </w:tc>
        <w:tc>
          <w:p>
            <w:r>
              <w:rPr>
                <w:b w:val="off"/>
                <w:i w:val="off"/>
              </w:rPr>
              <w:t>6.8%</w:t>
            </w:r>
          </w:p>
        </w:tc>
      </w:tr>
      <w:tr>
        <w:tc>
          <w:p>
            <w:r>
              <w:rPr>
                <w:b w:val="off"/>
                <w:i w:val="off"/>
              </w:rPr>
              <w:t>Meridian Infrastructure Income Trust</w:t>
            </w:r>
          </w:p>
        </w:tc>
        <w:tc>
          <w:p>
            <w:r>
              <w:rPr>
                <w:b w:val="off"/>
                <w:i w:val="off"/>
              </w:rPr>
              <w:t>45,000</w:t>
            </w:r>
          </w:p>
        </w:tc>
        <w:tc>
          <w:p>
            <w:r>
              <w:rPr>
                <w:b w:val="off"/>
                <w:i w:val="off"/>
              </w:rPr>
              <w:t>GBP 2.18</w:t>
            </w:r>
          </w:p>
        </w:tc>
        <w:tc>
          <w:p>
            <w:r>
              <w:rPr>
                <w:b w:val="off"/>
                <w:i w:val="off"/>
              </w:rPr>
              <w:t>GBP 98,100.00</w:t>
            </w:r>
          </w:p>
        </w:tc>
        <w:tc>
          <w:p>
            <w:r>
              <w:rPr>
                <w:b w:val="off"/>
                <w:i w:val="off"/>
              </w:rPr>
              <w:t>4.4%</w:t>
            </w:r>
          </w:p>
        </w:tc>
      </w:tr>
    </w:tbl>
    <w:p>
      <w:pPr>
        <w:sectPr>
          <w:type w:val="nextPage"/>
          <w:pgNumType w:start="1"/>
        </w:sectPr>
      </w:pPr>
    </w:p>
    <w:p>
      <w:pPr>
        <w:jc w:val="left"/>
      </w:pPr>
      <w:r>
        <w:rPr>
          <w:b w:val="on"/>
          <w:sz w:val="24"/>
        </w:rPr>
        <w:t>Income Activity</w:t>
      </w:r>
    </w:p>
    <w:p>
      <w:pPr>
        <w:pStyle w:val="Heading2"/>
      </w:pPr>
      <w:r>
        <w:rPr>
          <w:b w:val="on"/>
          <w:i w:val="off"/>
        </w:rPr>
        <w:t xml:space="preserve">1 </w:t>
      </w:r>
      <w:r>
        <w:rPr>
          <w:b w:val="off"/>
          <w:i w:val="off"/>
        </w:rPr>
        <w:t>Income Activity</w:t>
      </w:r>
    </w:p>
    <w:p>
      <w:pPr>
        <w:pStyle w:val="ClauseBody"/>
      </w:pPr>
      <w:r>
        <w:rPr>
          <w:b w:val="off"/>
          <w:i w:val="off"/>
        </w:rPr>
        <w:t>The following table summarises income received during the Statement Period, including dividends, coupon payments and interest credited to your account.</w:t>
      </w:r>
    </w:p>
    <w:p/>
    <w:p>
      <w:pPr>
        <w:pStyle w:val="ClauseBody"/>
      </w:pPr>
      <w:r>
        <w:rPr>
          <w:b w:val="off"/>
          <w:i w:val="off"/>
        </w:rPr>
        <w:t xml:space="preserve">Total dividends received: </w:t>
      </w:r>
      <w:r>
        <w:rPr>
          <w:b w:val="on"/>
          <w:i w:val="off"/>
        </w:rPr>
        <w:t>18,465.00</w:t>
      </w:r>
      <w:r>
        <w:rPr>
          <w:b w:val="off"/>
          <w:i w:val="off"/>
        </w:rPr>
        <w:t xml:space="preserve">. Total interest received: </w:t>
      </w:r>
      <w:r>
        <w:rPr>
          <w:b w:val="on"/>
          <w:i w:val="off"/>
        </w:rPr>
        <w:t>9,950.50</w:t>
      </w:r>
      <w:r>
        <w:rPr>
          <w:b w:val="off"/>
          <w:i w:val="off"/>
        </w:rPr>
        <w:t>.</w:t>
      </w:r>
    </w:p>
    <w:tbl>
      <w:tblPr>
        <w:tblW w:w="0" w:type="auto"/>
        <w:tblBorders>
          <w:top w:val="single"/>
          <w:left w:val="single"/>
          <w:bottom w:val="single"/>
          <w:right w:val="single"/>
          <w:insideH w:val="single"/>
          <w:insideV w:val="single"/>
        </w:tblBorders>
      </w:tblPr>
      <w:tr>
        <w:tc>
          <w:p>
            <w:pPr>
              <w:pStyle w:val="TableHeader"/>
            </w:pPr>
            <w:r>
              <w:rPr>
                <w:b w:val="on"/>
                <w:i w:val="off"/>
              </w:rPr>
              <w:t>Description</w:t>
            </w:r>
          </w:p>
        </w:tc>
        <w:tc>
          <w:p>
            <w:pPr>
              <w:pStyle w:val="TableHeader"/>
            </w:pPr>
            <w:r>
              <w:rPr>
                <w:b w:val="on"/>
                <w:i w:val="off"/>
              </w:rPr>
              <w:t>Date</w:t>
            </w:r>
          </w:p>
        </w:tc>
        <w:tc>
          <w:p>
            <w:pPr>
              <w:pStyle w:val="TableHeader"/>
            </w:pPr>
            <w:r>
              <w:rPr>
                <w:b w:val="on"/>
                <w:i w:val="off"/>
              </w:rPr>
              <w:t>Amount</w:t>
            </w:r>
          </w:p>
        </w:tc>
      </w:tr>
      <w:tr>
        <w:tc>
          <w:p>
            <w:r>
              <w:rPr>
                <w:b w:val="off"/>
                <w:i w:val="off"/>
              </w:rPr>
              <w:t>Meridian Global Equity Fund — dividend distribution</w:t>
            </w:r>
          </w:p>
        </w:tc>
        <w:tc>
          <w:p>
            <w:r>
              <w:rPr>
                <w:b w:val="off"/>
                <w:i w:val="off"/>
              </w:rPr>
              <w:t>2026-03-15</w:t>
            </w:r>
          </w:p>
        </w:tc>
        <w:tc>
          <w:p>
            <w:r>
              <w:rPr>
                <w:b w:val="off"/>
                <w:i w:val="off"/>
              </w:rPr>
              <w:t>GBP 4,250.00</w:t>
            </w:r>
          </w:p>
        </w:tc>
      </w:tr>
      <w:tr>
        <w:tc>
          <w:p>
            <w:r>
              <w:rPr>
                <w:b w:val="off"/>
                <w:i w:val="off"/>
              </w:rPr>
              <w:t>Meridian ESG Bond Fund — semi-annual coupon</w:t>
            </w:r>
          </w:p>
        </w:tc>
        <w:tc>
          <w:p>
            <w:r>
              <w:rPr>
                <w:b w:val="off"/>
                <w:i w:val="off"/>
              </w:rPr>
              <w:t>2026-04-01</w:t>
            </w:r>
          </w:p>
        </w:tc>
        <w:tc>
          <w:p>
            <w:r>
              <w:rPr>
                <w:b w:val="off"/>
                <w:i w:val="off"/>
              </w:rPr>
              <w:t>GBP 12,750.00</w:t>
            </w:r>
          </w:p>
        </w:tc>
      </w:tr>
      <w:tr>
        <w:tc>
          <w:p>
            <w:r>
              <w:rPr>
                <w:b w:val="off"/>
                <w:i w:val="off"/>
              </w:rPr>
              <w:t>UK Gilt 4.25% 2035 — coupon payment</w:t>
            </w:r>
          </w:p>
        </w:tc>
        <w:tc>
          <w:p>
            <w:r>
              <w:rPr>
                <w:b w:val="off"/>
                <w:i w:val="off"/>
              </w:rPr>
              <w:t>2026-06-07</w:t>
            </w:r>
          </w:p>
        </w:tc>
        <w:tc>
          <w:p>
            <w:r>
              <w:rPr>
                <w:b w:val="off"/>
                <w:i w:val="off"/>
              </w:rPr>
              <w:t>GBP 10,625.00</w:t>
            </w:r>
          </w:p>
        </w:tc>
      </w:tr>
      <w:tr>
        <w:tc>
          <w:p>
            <w:r>
              <w:rPr>
                <w:b w:val="off"/>
                <w:i w:val="off"/>
              </w:rPr>
              <w:t>Apple Inc. (AAPL) — quarterly dividend</w:t>
            </w:r>
          </w:p>
        </w:tc>
        <w:tc>
          <w:p>
            <w:r>
              <w:rPr>
                <w:b w:val="off"/>
                <w:i w:val="off"/>
              </w:rPr>
              <w:t>2026-05-16</w:t>
            </w:r>
          </w:p>
        </w:tc>
        <w:tc>
          <w:p>
            <w:r>
              <w:rPr>
                <w:b w:val="off"/>
                <w:i w:val="off"/>
              </w:rPr>
              <w:t>USD 1,440.00</w:t>
            </w:r>
          </w:p>
        </w:tc>
      </w:tr>
      <w:tr>
        <w:tc>
          <w:p>
            <w:r>
              <w:rPr>
                <w:b w:val="off"/>
                <w:i w:val="off"/>
              </w:rPr>
              <w:t>Cash account — credit interest (H1 2026)</w:t>
            </w:r>
          </w:p>
        </w:tc>
        <w:tc>
          <w:p>
            <w:r>
              <w:rPr>
                <w:b w:val="off"/>
                <w:i w:val="off"/>
              </w:rPr>
              <w:t>2026-06-30</w:t>
            </w:r>
          </w:p>
        </w:tc>
        <w:tc>
          <w:p>
            <w:r>
              <w:rPr>
                <w:b w:val="off"/>
                <w:i w:val="off"/>
              </w:rPr>
              <w:t>GBP 350.50</w:t>
            </w:r>
          </w:p>
        </w:tc>
      </w:tr>
    </w:tbl>
    <w:p>
      <w:pPr>
        <w:sectPr>
          <w:type w:val="nextPage"/>
          <w:pgNumType w:start="1"/>
        </w:sectPr>
      </w:pPr>
    </w:p>
    <w:p>
      <w:pPr>
        <w:jc w:val="left"/>
      </w:pPr>
      <w:r>
        <w:rPr>
          <w:b w:val="on"/>
          <w:sz w:val="24"/>
        </w:rPr>
        <w:t>Portfolio Totals</w:t>
      </w:r>
    </w:p>
    <w:p>
      <w:pPr>
        <w:pStyle w:val="Heading2"/>
      </w:pPr>
      <w:r>
        <w:rPr>
          <w:b w:val="on"/>
          <w:i w:val="off"/>
        </w:rPr>
        <w:t xml:space="preserve">1 </w:t>
      </w:r>
      <w:r>
        <w:rPr>
          <w:b w:val="off"/>
          <w:i w:val="off"/>
        </w:rPr>
        <w:t>Portfolio Totals</w:t>
      </w:r>
    </w:p>
    <w:p>
      <w:pPr>
        <w:pStyle w:val="ClauseBody"/>
      </w:pPr>
      <w:r>
        <w:rPr>
          <w:b w:val="off"/>
          <w:i w:val="off"/>
        </w:rPr>
        <w:t>The following summary presents the aggregate cost basis, market value, unrealised gain/loss and total income for the Statement Period.</w:t>
      </w:r>
    </w:p>
    <w:p/>
    <w:tbl>
      <w:tblPr>
        <w:tblW w:w="0" w:type="auto"/>
        <w:tblBorders>
          <w:top w:val="single"/>
          <w:left w:val="single"/>
          <w:bottom w:val="single"/>
          <w:right w:val="single"/>
          <w:insideH w:val="single"/>
          <w:insideV w:val="single"/>
        </w:tblBorders>
      </w:tblPr>
      <w:tr>
        <w:tc>
          <w:p>
            <w:pPr>
              <w:pStyle w:val="TableHeader"/>
            </w:pPr>
            <w:r>
              <w:rPr>
                <w:b w:val="on"/>
                <w:i w:val="off"/>
              </w:rPr>
              <w:t>Summary</w:t>
            </w:r>
          </w:p>
        </w:tc>
        <w:tc>
          <w:p>
            <w:pPr>
              <w:pStyle w:val="TableHeader"/>
            </w:pPr>
            <w:r>
              <w:rPr>
                <w:b w:val="on"/>
                <w:i w:val="off"/>
              </w:rPr>
              <w:t>Amount</w:t>
            </w:r>
          </w:p>
        </w:tc>
      </w:tr>
      <w:tr>
        <w:tc>
          <w:p>
            <w:r>
              <w:rPr>
                <w:b w:val="off"/>
                <w:i w:val="off"/>
              </w:rPr>
              <w:t>Total cost basis</w:t>
            </w:r>
          </w:p>
        </w:tc>
        <w:tc>
          <w:p>
            <w:r>
              <w:rPr>
                <w:b w:val="off"/>
                <w:i w:val="off"/>
              </w:rPr>
              <w:t>1,892,450.00</w:t>
            </w:r>
          </w:p>
        </w:tc>
      </w:tr>
      <w:tr>
        <w:tc>
          <w:p>
            <w:r>
              <w:rPr>
                <w:b w:val="off"/>
                <w:i w:val="off"/>
              </w:rPr>
              <w:t>Total market value</w:t>
            </w:r>
          </w:p>
        </w:tc>
        <w:tc>
          <w:p>
            <w:r>
              <w:rPr>
                <w:b w:val="off"/>
                <w:i w:val="off"/>
              </w:rPr>
              <w:t>2,064,120.00</w:t>
            </w:r>
          </w:p>
        </w:tc>
      </w:tr>
      <w:tr>
        <w:tc>
          <w:p>
            <w:r>
              <w:rPr>
                <w:b w:val="off"/>
                <w:i w:val="off"/>
              </w:rPr>
              <w:t>Unrealised gain/loss</w:t>
            </w:r>
          </w:p>
        </w:tc>
        <w:tc>
          <w:p>
            <w:r>
              <w:rPr>
                <w:b w:val="off"/>
                <w:i w:val="off"/>
              </w:rPr>
              <w:t>171,670.00</w:t>
            </w:r>
          </w:p>
        </w:tc>
      </w:tr>
      <w:tr>
        <w:tc>
          <w:p>
            <w:r>
              <w:rPr>
                <w:b w:val="off"/>
                <w:i w:val="off"/>
              </w:rPr>
              <w:t>Unrealised gain/loss %</w:t>
            </w:r>
          </w:p>
        </w:tc>
        <w:tc>
          <w:p>
            <w:r>
              <w:rPr>
                <w:b w:val="off"/>
                <w:i w:val="off"/>
              </w:rPr>
              <w:t>+9.07%</w:t>
            </w:r>
          </w:p>
        </w:tc>
      </w:tr>
      <w:tr>
        <w:tc>
          <w:p>
            <w:r>
              <w:rPr>
                <w:b w:val="off"/>
                <w:i w:val="off"/>
              </w:rPr>
              <w:t>Total income received (period)</w:t>
            </w:r>
          </w:p>
        </w:tc>
        <w:tc>
          <w:p>
            <w:r>
              <w:rPr>
                <w:b w:val="off"/>
                <w:i w:val="off"/>
              </w:rPr>
              <w:t>28,415.50</w:t>
            </w:r>
          </w:p>
        </w:tc>
      </w:tr>
    </w:tbl>
    <w:p>
      <w:pPr>
        <w:sectPr>
          <w:type w:val="nextPage"/>
          <w:pgNumType w:start="1"/>
        </w:sectPr>
      </w:pPr>
    </w:p>
    <w:p>
      <w:pPr>
        <w:jc w:val="left"/>
      </w:pPr>
      <w:r>
        <w:rPr>
          <w:b w:val="on"/>
          <w:sz w:val="24"/>
        </w:rPr>
        <w:t>Disclaimers and Signature</w:t>
      </w:r>
    </w:p>
    <w:p>
      <w:pPr>
        <w:pStyle w:val="Heading3"/>
      </w:pPr>
      <w:r>
        <w:rPr>
          <w:b w:val="on"/>
          <w:i w:val="off"/>
        </w:rPr>
        <w:t xml:space="preserve">0.1 </w:t>
      </w:r>
      <w:r>
        <w:rPr>
          <w:b w:val="off"/>
          <w:i w:val="off"/>
        </w:rPr>
        <w:t>Important Notices</w:t>
      </w:r>
    </w:p>
    <w:p>
      <w:pPr>
        <w:pStyle w:val="ClauseBody"/>
      </w:pPr>
      <w:r>
        <w:rPr>
          <w:b w:val="off"/>
          <w:i w:val="off"/>
        </w:rPr>
        <w:t xml:space="preserve">This statement is provided for information purposes only and does not constitute investment advice, an offer to sell or a solicitation of an offer to buy any securities or investment products. </w:t>
      </w:r>
      <w:r>
        <w:rPr>
          <w:b w:val="on"/>
          <w:i w:val="off"/>
        </w:rPr>
        <w:t>Past performance is not indicative of future results.</w:t>
      </w:r>
      <w:r>
        <w:rPr>
          <w:b w:val="off"/>
          <w:i w:val="off"/>
        </w:rPr>
        <w:t xml:space="preserve"> The value of investments and income from them may go down as well as up, and investors may not get back the amount originally invested.</w:t>
      </w:r>
    </w:p>
    <w:p>
      <w:pPr>
        <w:pStyle w:val="BodyText"/>
      </w:pPr>
      <w:r>
        <w:rPr>
          <w:b w:val="off"/>
          <w:i w:val="off"/>
        </w:rPr>
        <w:t>Tax: You are responsible for any tax arising from your investments. It is your responsibility to disclose any income, gains or losses to the relevant tax authority in accordance with the laws applicable to you. If you are in any doubt about your tax position, you should consult a professional tax adviser.</w:t>
      </w:r>
    </w:p>
    <w:p>
      <w:pPr>
        <w:pStyle w:val="ClauseBody"/>
      </w:pPr>
      <w:r>
        <w:rPr>
          <w:b w:val="off"/>
          <w:i w:val="off"/>
        </w:rPr>
        <w:t>If you have any queries regarding this statement or wish to discuss your Portfolio, please contact your Relationship Manager.</w:t>
      </w:r>
    </w:p>
    <w:p>
      <w:pPr>
        <w:pStyle w:val="ClauseBody"/>
      </w:pPr>
      <w:r>
        <w:rPr>
          <w:b w:val="off"/>
          <w:i w:val="off"/>
        </w:rPr>
        <w:t>Yours sincerely,</w:t>
      </w:r>
    </w:p>
    <w:p>
      <w:pPr>
        <w:pStyle w:val="SignatureBlock"/>
      </w:pPr>
      <w:r>
        <w:rPr>
          <w:b w:val="on"/>
          <w:i w:val="off"/>
        </w:rPr>
        <w:t>Eleanor V. Fitzpatrick</w:t>
      </w:r>
    </w:p>
    <w:p>
      <w:pPr>
        <w:pStyle w:val="SignatureBlock"/>
      </w:pPr>
      <w:r>
        <w:rPr>
          <w:b w:val="off"/>
          <w:i w:val="off"/>
        </w:rPr>
        <w:t>Managing Director, Meridian Private Wealth</w:t>
      </w:r>
    </w:p>
    <w:p>
      <w:pPr>
        <w:pStyle w:val="SignatureBlock"/>
      </w:pPr>
      <w:r>
        <w:rPr>
          <w:b w:val="off"/>
          <w:i w:val="off"/>
        </w:rPr>
        <w:t>Meridian Private Wealth</w:t>
      </w:r>
      <w:r>
        <w:rPr>
          <w:b w:val="off"/>
          <w:i w:val="off"/>
        </w:rPr>
        <w:t xml:space="preserve">, </w:t>
      </w:r>
      <w:r>
        <w:rPr>
          <w:b w:val="off"/>
          <w:i w:val="off"/>
        </w:rPr>
        <w:t>1 St James's Square, London SW1Y 4JU, United Kingdom</w:t>
      </w:r>
    </w:p>
    <w:p>
      <w:pPr>
        <w:pStyle w:val="SignatureBlock"/>
      </w:pPr>
      <w:r>
        <w:rPr>
          <w:b w:val="off"/>
          <w:i w:val="off"/>
        </w:rPr>
        <w:t xml:space="preserve">FCA Register No. </w:t>
      </w:r>
      <w:r>
        <w:rPr>
          <w:b w:val="off"/>
          <w:i w:val="off"/>
        </w:rPr>
        <w:t>123456</w:t>
      </w:r>
    </w:p>
    <w:p>
      <w:pPr>
        <w:pStyle w:val="BodyText"/>
      </w:pPr>
      <w:r>
        <w:rPr>
          <w:b w:val="off"/>
          <w:i w:val="off"/>
        </w:rPr>
        <w:t>Regulation: Meridian Private Wealth is authorised and regulated by the Financial Conduct Authority. This statement is issued in accordance with the FCA Client Assets Sourcebook (CASS) and the Conduct of Business Sourcebook (COBS).</w:t>
      </w:r>
    </w:p>
    <w:p>
      <w:pPr>
        <w:pStyle w:val="BodyText"/>
      </w:pPr>
      <w:r>
        <w:rPr>
          <w:b w:val="off"/>
          <w:i w:val="off"/>
        </w:rPr>
        <w:t>Complaints: If you are dissatisfied with any aspect of our service, please contact your Relationship Manager in the first instance. If the matter is not resolved to your satisfaction, you may refer your complaint to the Financial Ombudsman Service.</w:t>
      </w:r>
    </w:p>
    <w:p>
      <w:pPr>
        <w:pStyle w:val="BodyText"/>
      </w:pPr>
      <w:r>
        <w:rPr>
          <w:b w:val="off"/>
          <w:i w:val="off"/>
        </w:rPr>
        <w:t>Compensation: Meridian Private Wealth is covered by the Financial Services Compensation Scheme (FSCS). Eligibility for compensation depends on the type of product and circumstances of the claim. Further details are available on request or at www.fscs.org.uk.</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Past performance is not indicative of future results | FCA Client Assets (CASS) | Meridian Private Wealth, 1 St James's Square, London SW1Y 4JU</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Private Wealth — Investment Services</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2026-07-20T10:06:46Z</dcterms:created>
  <dc:creator>Apache POI</dc:creator>
</cp:coreProperties>
</file>