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Investment Statement</w:t>
      </w:r>
    </w:p>
    <w:p>
      <w:r>
        <w:t>{{anchor:WEALTH_STATEMENT_BODY}}</w:t>
      </w:r>
    </w:p>
    <w:p>
      <w:r>
        <w:t>{{anchor:WEALTH_HOLDINGS_TABLE}}</w:t>
      </w:r>
    </w:p>
    <w:p>
      <w:r>
        <w:t>{{anchor:WEALTH_FOOTER_TOTALS}}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Past performance is not indicative of future results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Private Wealth — Investment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2026-07-03T19:02:02Z</dcterms:created>
  <dc:creator>Apache POI</dc:creator>
</cp:coreProperties>
</file>