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Overdue Balance Notice</w:t>
      </w:r>
    </w:p>
    <w:p>
      <w:r>
        <w:t>{{anchor:OCN_ARREARS}}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{{anchor:OCN_REGULATORY}}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Repayment Options</w:t>
      </w:r>
    </w:p>
    <w:p>
      <w:r>
        <w:t>{{anchor:OCN_REPAYMENT}}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Consequences of Non-Payment</w:t>
      </w:r>
    </w:p>
    <w:p>
      <w:r>
        <w:t>{{anchor:OCN_CONSEQUENCES}}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Support and Complaints</w:t>
      </w:r>
    </w:p>
    <w:p>
      <w:r>
        <w:t>{{anchor:OCN_SUPPORT}}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{{anchor:OCN_SIGNATURE}}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{{anchor:OCN_DISCLAIMER}}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RegulatoryEmphasis">
    <w:name w:val="RegulatoryEmphasis"/>
    <w:qFormat/>
    <w:rPr>
      <w:sz w:val="20"/>
      <w:rFonts w:ascii="Calibri" w:hAnsi="Calibri" w:cs="Calibri"/>
      <w:b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2026-07-13T16:46:03Z</dcterms:created>
  <dc:creator>Apache POI</dc:creator>
</cp:coreProperties>
</file>