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Bank Guarantee Notice</w:t>
      </w:r>
    </w:p>
    <w:p>
      <w:r>
        <w:t>{{anchor:TGN_PARTIES}}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{{anchor:TGN_DEFINED_TERMS}}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Undertaking Particulars</w:t>
      </w:r>
    </w:p>
    <w:p>
      <w:r>
        <w:t>{{anchor:TGN_UNDERTAKING}}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Claim Procedure</w:t>
      </w:r>
    </w:p>
    <w:p>
      <w:r>
        <w:t>{{anchor:TGN_CLAIMS}}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Expiry and Reduction</w:t>
      </w:r>
    </w:p>
    <w:p>
      <w:r>
        <w:t>{{anchor:TGN_EXPIRY}}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URDG Standard Terms</w:t>
      </w:r>
    </w:p>
    <w:p>
      <w:r>
        <w:t>{{anchor:TGN_URDG_TERMS}}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{{anchor:TGN_GOVERNING_LAW}}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{{anchor:TGN_SIGNATURE}}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Attachments</w:t>
      </w:r>
    </w:p>
    <w:p>
      <w:r>
        <w:t>{{anchor:TGN_ATTACHMENT}}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URDG 758 — Demand Guarantees, London Trade Centre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— Trade Finance Services</w:t>
    </w:r>
  </w:p>
  <w:p>
    <w:pPr>
      <w:jc w:val="right"/>
    </w:pPr>
    <w:r>
      <w:rPr>
        <w:b w:val="on"/>
        <w:sz w:val="14"/>
        <w:color w:val="990000"/>
      </w:rPr>
      <w:t>WITHOUT ENGAGEMENT — SUBJECT TO UCP / URDG AS APPLICABLE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2026-07-09T04:50:20Z</dcterms:created>
  <dc:creator>Apache POI</dc:creator>
</cp:coreProperties>
</file>