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Monthly Mgmt 科目逻辑梳理</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销售</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Directional Margin in Full Price 经销业务的直接收益</w:t>
      </w:r>
      <w:bookmarkEnd w:id="1"/>
    </w:p>
    <w:p>
      <w:pPr>
        <w:spacing w:before="120" w:after="120" w:line="288" w:lineRule="auto"/>
        <w:ind w:left="0"/>
        <w:jc w:val="left"/>
      </w:pPr>
      <w:r>
        <w:rPr>
          <w:rFonts w:eastAsia="等线" w:ascii="Arial" w:cs="Arial" w:hAnsi="Arial"/>
          <w:sz w:val="22"/>
          <w:shd w:fill="fff67a"/>
        </w:rPr>
        <w:t>值=margin*销售发票数量</w:t>
      </w: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1.1.1 </w:t>
      </w:r>
      <w:r>
        <w:rPr>
          <w:rFonts w:eastAsia="等线" w:ascii="Arial" w:cs="Arial" w:hAnsi="Arial"/>
          <w:b w:val="true"/>
          <w:sz w:val="30"/>
        </w:rPr>
        <w:t>核心业务流程：每日合金定价 le</w:t>
      </w:r>
      <w:bookmarkEnd w:id="2"/>
    </w:p>
    <w:p>
      <w:pPr>
        <w:spacing w:before="120" w:after="120" w:line="288" w:lineRule="auto"/>
        <w:ind w:left="0"/>
        <w:jc w:val="left"/>
      </w:pPr>
      <w:r>
        <w:rPr>
          <w:rFonts w:eastAsia="等线" w:ascii="Arial" w:cs="Arial" w:hAnsi="Arial"/>
          <w:sz w:val="22"/>
        </w:rPr>
        <w:t>采购部门每天都需要为生产的不同合金（如C32）制定一个当日销售基价。这个价格不是固定不变的，而是紧密跟随原材料市场价格波动的。</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1.1.2 </w:t>
      </w:r>
      <w:r>
        <w:rPr>
          <w:rFonts w:eastAsia="等线" w:ascii="Arial" w:cs="Arial" w:hAnsi="Arial"/>
          <w:b w:val="true"/>
          <w:sz w:val="30"/>
        </w:rPr>
        <w:t>第一步：基于“标准配方”的成本计算</w:t>
      </w:r>
      <w:bookmarkEnd w:id="3"/>
    </w:p>
    <w:p>
      <w:pPr>
        <w:spacing w:before="120" w:after="120" w:line="288" w:lineRule="auto"/>
        <w:ind w:left="0"/>
        <w:jc w:val="left"/>
      </w:pPr>
      <w:r>
        <w:rPr>
          <w:rFonts w:eastAsia="等线" w:ascii="Arial" w:cs="Arial" w:hAnsi="Arial"/>
          <w:sz w:val="22"/>
        </w:rPr>
        <w:t>这个环节是定价的基础，我们称之为理论成本计算。</w:t>
      </w:r>
    </w:p>
    <w:p>
      <w:pPr>
        <w:numPr>
          <w:numId w:val="1"/>
        </w:numPr>
        <w:spacing w:before="120" w:after="120" w:line="288" w:lineRule="auto"/>
        <w:ind w:left="0"/>
        <w:jc w:val="left"/>
      </w:pPr>
      <w:r>
        <w:rPr>
          <w:rFonts w:eastAsia="等线" w:ascii="Arial" w:cs="Arial" w:hAnsi="Arial"/>
          <w:sz w:val="22"/>
        </w:rPr>
        <w:t>固定配方（BOM）：生产每一吨（或100公斤）的C32合金，有一个非常古老的、从未更改过的标准配方。例如：</w:t>
      </w:r>
    </w:p>
    <w:p>
      <w:pPr>
        <w:numPr>
          <w:numId w:val="2"/>
        </w:numPr>
        <w:spacing w:before="120" w:after="120" w:line="288" w:lineRule="auto"/>
        <w:ind w:left="453"/>
        <w:jc w:val="left"/>
      </w:pPr>
      <w:r>
        <w:rPr>
          <w:rFonts w:eastAsia="等线" w:ascii="Arial" w:cs="Arial" w:hAnsi="Arial"/>
          <w:sz w:val="22"/>
        </w:rPr>
        <w:t>生产100公斤C32，需要投入：</w:t>
      </w:r>
    </w:p>
    <w:p>
      <w:pPr>
        <w:numPr>
          <w:numId w:val="3"/>
        </w:numPr>
        <w:spacing w:before="120" w:after="120" w:line="288" w:lineRule="auto"/>
        <w:ind w:left="907"/>
        <w:jc w:val="left"/>
      </w:pPr>
      <w:r>
        <w:rPr>
          <w:rFonts w:eastAsia="等线" w:ascii="Arial" w:cs="Arial" w:hAnsi="Arial"/>
          <w:sz w:val="22"/>
        </w:rPr>
        <w:t>10公斤的铜废料（含铜98%）</w:t>
      </w:r>
    </w:p>
    <w:p>
      <w:pPr>
        <w:numPr>
          <w:numId w:val="4"/>
        </w:numPr>
        <w:spacing w:before="120" w:after="120" w:line="288" w:lineRule="auto"/>
        <w:ind w:left="907"/>
        <w:jc w:val="left"/>
      </w:pPr>
      <w:r>
        <w:rPr>
          <w:rFonts w:eastAsia="等线" w:ascii="Arial" w:cs="Arial" w:hAnsi="Arial"/>
          <w:sz w:val="22"/>
        </w:rPr>
        <w:t>20公斤的特高级锌锭</w:t>
      </w:r>
    </w:p>
    <w:p>
      <w:pPr>
        <w:numPr>
          <w:numId w:val="5"/>
        </w:numPr>
        <w:spacing w:before="120" w:after="120" w:line="288" w:lineRule="auto"/>
        <w:ind w:left="907"/>
        <w:jc w:val="left"/>
      </w:pPr>
      <w:r>
        <w:rPr>
          <w:rFonts w:eastAsia="等线" w:ascii="Arial" w:cs="Arial" w:hAnsi="Arial"/>
          <w:sz w:val="22"/>
        </w:rPr>
        <w:t>30公斤的车屑</w:t>
      </w:r>
    </w:p>
    <w:p>
      <w:pPr>
        <w:numPr>
          <w:numId w:val="6"/>
        </w:numPr>
        <w:spacing w:before="120" w:after="120" w:line="288" w:lineRule="auto"/>
        <w:ind w:left="907"/>
        <w:jc w:val="left"/>
      </w:pPr>
      <w:r>
        <w:rPr>
          <w:rFonts w:eastAsia="等线" w:ascii="Arial" w:cs="Arial" w:hAnsi="Arial"/>
          <w:sz w:val="22"/>
        </w:rPr>
        <w:t>50公斤的混合废料</w:t>
      </w:r>
    </w:p>
    <w:p>
      <w:pPr>
        <w:numPr>
          <w:numId w:val="7"/>
        </w:numPr>
        <w:spacing w:before="120" w:after="120" w:line="288" w:lineRule="auto"/>
        <w:ind w:left="907"/>
        <w:jc w:val="left"/>
      </w:pPr>
      <w:r>
        <w:rPr>
          <w:rFonts w:eastAsia="等线" w:ascii="Arial" w:cs="Arial" w:hAnsi="Arial"/>
          <w:i w:val="true"/>
          <w:sz w:val="22"/>
        </w:rPr>
        <w:t>注：总投入110公斤，产出100公斤，中间的差异就是熔炼损耗。</w:t>
      </w:r>
    </w:p>
    <w:p>
      <w:pPr>
        <w:numPr>
          <w:numId w:val="8"/>
        </w:numPr>
        <w:spacing w:before="120" w:after="120" w:line="288" w:lineRule="auto"/>
        <w:ind w:left="0"/>
        <w:jc w:val="left"/>
      </w:pPr>
      <w:r>
        <w:rPr>
          <w:rFonts w:eastAsia="等线" w:ascii="Arial" w:cs="Arial" w:hAnsi="Arial"/>
          <w:sz w:val="22"/>
        </w:rPr>
        <w:t>动态原材料价格：每一种原材料（铜废料、锌锭等）的采购价格不是固定的，而是参考伦敦金属交易所（LME）的价格来确定的。公式如：*LME铜价 - 500欧元/吨*。</w:t>
      </w:r>
    </w:p>
    <w:p>
      <w:pPr>
        <w:numPr>
          <w:numId w:val="9"/>
        </w:numPr>
        <w:spacing w:before="120" w:after="120" w:line="288" w:lineRule="auto"/>
        <w:ind w:left="0"/>
        <w:jc w:val="left"/>
      </w:pPr>
      <w:r>
        <w:rPr>
          <w:rFonts w:eastAsia="等线" w:ascii="Arial" w:cs="Arial" w:hAnsi="Arial"/>
          <w:sz w:val="22"/>
        </w:rPr>
        <w:t>理论成本计算：将当天更新的LME价格代入原材料公式，得到每种原材料的当日采购价。然后用这个价格乘以配方中的消耗量，最后加总，就得出了生产C32合金的当日理论成本价。</w:t>
      </w: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1.1.3 </w:t>
      </w:r>
      <w:r>
        <w:rPr>
          <w:rFonts w:eastAsia="等线" w:ascii="Arial" w:cs="Arial" w:hAnsi="Arial"/>
          <w:b w:val="true"/>
          <w:sz w:val="30"/>
        </w:rPr>
        <w:t>第二步：加价策略的制定</w:t>
      </w:r>
      <w:bookmarkEnd w:id="4"/>
    </w:p>
    <w:p>
      <w:pPr>
        <w:spacing w:before="120" w:after="120" w:line="288" w:lineRule="auto"/>
        <w:ind w:left="0"/>
        <w:jc w:val="left"/>
      </w:pPr>
      <w:r>
        <w:rPr>
          <w:rFonts w:eastAsia="等线" w:ascii="Arial" w:cs="Arial" w:hAnsi="Arial"/>
          <w:sz w:val="22"/>
        </w:rPr>
        <w:t>理论成本价算出后，公司不会直接按这个价格销售，而是会进行策略性加价。</w:t>
      </w:r>
    </w:p>
    <w:p>
      <w:pPr>
        <w:numPr>
          <w:numId w:val="10"/>
        </w:numPr>
        <w:spacing w:before="120" w:after="120" w:line="288" w:lineRule="auto"/>
        <w:ind w:left="0"/>
        <w:jc w:val="left"/>
      </w:pPr>
      <w:r>
        <w:rPr>
          <w:rFonts w:eastAsia="等线" w:ascii="Arial" w:cs="Arial" w:hAnsi="Arial"/>
          <w:sz w:val="22"/>
        </w:rPr>
        <w:t>定向加价（Directional Margin）：这是一个由管理层决定的、独立于成本计算的额外利润率。它的目的是为了增加盈利，是一个“隐藏的”利润。</w:t>
      </w:r>
    </w:p>
    <w:p>
      <w:pPr>
        <w:numPr>
          <w:numId w:val="11"/>
        </w:numPr>
        <w:spacing w:before="120" w:after="120" w:line="288" w:lineRule="auto"/>
        <w:ind w:left="0"/>
        <w:jc w:val="left"/>
      </w:pPr>
      <w:r>
        <w:rPr>
          <w:rFonts w:eastAsia="等线" w:ascii="Arial" w:cs="Arial" w:hAnsi="Arial"/>
          <w:sz w:val="22"/>
        </w:rPr>
        <w:t>差异化加价：不是所有产品都加一样的价。</w:t>
      </w:r>
    </w:p>
    <w:p>
      <w:pPr>
        <w:numPr>
          <w:numId w:val="12"/>
        </w:numPr>
        <w:spacing w:before="120" w:after="120" w:line="288" w:lineRule="auto"/>
        <w:ind w:left="453"/>
        <w:jc w:val="left"/>
      </w:pPr>
      <w:r>
        <w:rPr>
          <w:rFonts w:eastAsia="等线" w:ascii="Arial" w:cs="Arial" w:hAnsi="Arial"/>
          <w:sz w:val="22"/>
        </w:rPr>
        <w:t>主流合金：大多数合金每吨加价 110欧元。</w:t>
      </w:r>
    </w:p>
    <w:p>
      <w:pPr>
        <w:numPr>
          <w:numId w:val="13"/>
        </w:numPr>
        <w:spacing w:before="120" w:after="120" w:line="288" w:lineRule="auto"/>
        <w:ind w:left="453"/>
        <w:jc w:val="left"/>
      </w:pPr>
      <w:r>
        <w:rPr>
          <w:rFonts w:eastAsia="等线" w:ascii="Arial" w:cs="Arial" w:hAnsi="Arial"/>
          <w:sz w:val="22"/>
        </w:rPr>
        <w:t>特殊合金：部分特殊合金的加价更高，如 160欧元 或 230欧元。</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1.1.4 </w:t>
      </w:r>
      <w:r>
        <w:rPr>
          <w:rFonts w:eastAsia="等线" w:ascii="Arial" w:cs="Arial" w:hAnsi="Arial"/>
          <w:b w:val="true"/>
          <w:sz w:val="30"/>
        </w:rPr>
        <w:t>第三步：生成最终销售指导价</w:t>
      </w:r>
      <w:bookmarkEnd w:id="5"/>
    </w:p>
    <w:p>
      <w:pPr>
        <w:spacing w:before="120" w:after="120" w:line="288" w:lineRule="auto"/>
        <w:ind w:left="0"/>
        <w:jc w:val="left"/>
      </w:pPr>
      <w:r>
        <w:rPr>
          <w:rFonts w:eastAsia="等线" w:ascii="Arial" w:cs="Arial" w:hAnsi="Arial"/>
          <w:sz w:val="22"/>
        </w:rPr>
        <w:t>最终录入系统并发给销售人员的价格，并不是真实的成本价，而是包含了隐藏利润的“指导价”。</w:t>
      </w:r>
    </w:p>
    <w:p>
      <w:pPr>
        <w:numPr>
          <w:numId w:val="14"/>
        </w:numPr>
        <w:spacing w:before="120" w:after="120" w:line="288" w:lineRule="auto"/>
        <w:ind w:left="0"/>
        <w:jc w:val="left"/>
      </w:pPr>
      <w:r>
        <w:rPr>
          <w:rFonts w:eastAsia="等线" w:ascii="Arial" w:cs="Arial" w:hAnsi="Arial"/>
          <w:b w:val="true"/>
          <w:sz w:val="22"/>
          <w:shd w:fill="fbbfbc"/>
        </w:rPr>
        <w:t>计算公式：最终销售指导价 cartellino= 原材料成本基准 + 固定加价 + 可变利润</w:t>
      </w:r>
    </w:p>
    <w:p>
      <w:pPr>
        <w:numPr>
          <w:numId w:val="15"/>
        </w:numPr>
        <w:spacing w:before="120" w:after="120" w:line="288" w:lineRule="auto"/>
        <w:ind w:left="0"/>
        <w:jc w:val="left"/>
      </w:pPr>
      <w:r>
        <w:rPr>
          <w:rFonts w:eastAsia="等线" w:ascii="Arial" w:cs="Arial" w:hAnsi="Arial"/>
          <w:sz w:val="22"/>
        </w:rPr>
        <w:t>举例：假设C32合金当日的原材料成本基准（基于配方和LME价格计算得出）为 6250欧元/吨，该合金的固定加价（源于传统定价，几乎不变）为 110欧元/吨，本周五管理层会议根据市场热度决定将可变利润设为 200欧元/吨，则最终系统里的价格就是：6250 + 110 + 200 = 6560欧元/吨</w:t>
      </w:r>
    </w:p>
    <w:p>
      <w:pPr>
        <w:spacing w:before="120" w:after="120" w:line="288" w:lineRule="auto"/>
        <w:ind w:left="0"/>
        <w:jc w:val="left"/>
      </w:pPr>
      <w:r>
        <w:rPr>
          <w:rFonts w:eastAsia="等线" w:ascii="Arial" w:cs="Arial" w:hAnsi="Arial"/>
          <w:sz w:val="22"/>
        </w:rPr>
        <w:t>这个价格将作为销售指导价下发给销售人员。可变利润是动态调整的，例如市场疲软时可能降至0欧元/吨，使最终价格回到6360欧元/吨。</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1.1.5 </w:t>
      </w:r>
      <w:r>
        <w:rPr>
          <w:rFonts w:eastAsia="等线" w:ascii="Arial" w:cs="Arial" w:hAnsi="Arial"/>
          <w:b w:val="true"/>
          <w:sz w:val="30"/>
        </w:rPr>
        <w:t>第四步：在开票环节实现利润</w:t>
      </w:r>
      <w:bookmarkEnd w:id="6"/>
    </w:p>
    <w:p>
      <w:pPr>
        <w:spacing w:before="120" w:after="120" w:line="288" w:lineRule="auto"/>
        <w:ind w:left="0"/>
        <w:jc w:val="left"/>
      </w:pPr>
      <w:r>
        <w:rPr>
          <w:rFonts w:eastAsia="等线" w:ascii="Arial" w:cs="Arial" w:hAnsi="Arial"/>
          <w:sz w:val="22"/>
        </w:rPr>
        <w:t>会议记录最后提到的问题（“关于开票数量的问题”），涉及到这部分隐藏利润如何在财务上体现。</w:t>
      </w:r>
    </w:p>
    <w:p>
      <w:pPr>
        <w:numPr>
          <w:numId w:val="16"/>
        </w:numPr>
        <w:spacing w:before="120" w:after="120" w:line="288" w:lineRule="auto"/>
        <w:ind w:left="0"/>
        <w:jc w:val="left"/>
      </w:pPr>
      <w:r>
        <w:rPr>
          <w:rFonts w:eastAsia="等线" w:ascii="Arial" w:cs="Arial" w:hAnsi="Arial"/>
          <w:sz w:val="22"/>
        </w:rPr>
        <w:t>利润确认：当销售订单完成，开具发票时，这个“定向加价”就会乘以实际的开票数量，转化为公司的实际利润。</w:t>
      </w:r>
    </w:p>
    <w:p>
      <w:pPr>
        <w:numPr>
          <w:numId w:val="17"/>
        </w:numPr>
        <w:spacing w:before="120" w:after="120" w:line="288" w:lineRule="auto"/>
        <w:ind w:left="0"/>
        <w:jc w:val="left"/>
      </w:pPr>
      <w:r>
        <w:rPr>
          <w:rFonts w:eastAsia="等线" w:ascii="Arial" w:cs="Arial" w:hAnsi="Arial"/>
          <w:sz w:val="22"/>
        </w:rPr>
        <w:t>业务逻辑：系统记录的销售额是6360欧元/吨，而成本端是6250欧元/吨，中间的110欧元差价就是纯利润。这部分利润在CTRM系统中通常会被单独追踪，用于分析定价策略的有效性。</w:t>
      </w:r>
    </w:p>
    <w:p>
      <w:pPr>
        <w:spacing w:before="120" w:after="120" w:line="288" w:lineRule="auto"/>
        <w:ind w:left="0"/>
        <w:jc w:val="center"/>
      </w:pPr>
      <w:r>
        <w:drawing>
          <wp:inline distT="0" distR="0" distB="0" distL="0">
            <wp:extent cx="5257800" cy="34575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4575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1.2 </w:t>
      </w:r>
      <w:r>
        <w:rPr>
          <w:rFonts w:eastAsia="等线" w:ascii="Arial" w:cs="Arial" w:hAnsi="Arial"/>
          <w:b w:val="true"/>
          <w:sz w:val="32"/>
        </w:rPr>
        <w:t>Discounts on Full Price bookings 全价经销折扣</w:t>
      </w:r>
      <w:bookmarkEnd w:id="7"/>
    </w:p>
    <w:p>
      <w:pPr>
        <w:spacing w:before="120" w:after="120" w:line="288" w:lineRule="auto"/>
        <w:ind w:left="0"/>
        <w:jc w:val="left"/>
      </w:pPr>
      <w:r>
        <w:rPr>
          <w:rFonts w:eastAsia="等线" w:ascii="Arial" w:cs="Arial" w:hAnsi="Arial"/>
          <w:sz w:val="22"/>
        </w:rPr>
        <w:t>柏林包含了 真的销售折扣、或者因为quality进行的价格调整，需要区分开</w:t>
      </w:r>
    </w:p>
    <w:p>
      <w:pPr>
        <w:spacing w:before="120" w:after="120" w:line="288" w:lineRule="auto"/>
        <w:ind w:left="0"/>
        <w:jc w:val="left"/>
      </w:pPr>
      <w:r>
        <w:rPr>
          <w:rFonts w:eastAsia="等线" w:ascii="Arial" w:cs="Arial" w:hAnsi="Arial"/>
          <w:sz w:val="22"/>
        </w:rPr>
        <w:t>特殊折扣是在变动利润基础上，为促进销售向战略客户或大客户提供的额外折扣。近年市场不好时，营销部门在销售困难的情况下，可申请特殊折扣。</w:t>
      </w:r>
    </w:p>
    <w:p>
      <w:pPr>
        <w:spacing w:before="120" w:after="120" w:line="288" w:lineRule="auto"/>
        <w:ind w:left="0"/>
        <w:jc w:val="left"/>
      </w:pPr>
      <w:r>
        <w:rPr>
          <w:rFonts w:eastAsia="等线" w:ascii="Arial" w:cs="Arial" w:hAnsi="Arial"/>
          <w:sz w:val="22"/>
        </w:rPr>
        <w:t>操作流程：营销部门申请特殊折扣需经毛博批准，获批后联系 Eric 操作。Eric 会在 CRM 系统的手工调整金属成本字段中设置折扣。</w:t>
      </w:r>
    </w:p>
    <w:p>
      <w:pPr>
        <w:spacing w:before="120" w:after="120" w:line="288" w:lineRule="auto"/>
        <w:ind w:left="0"/>
        <w:jc w:val="left"/>
      </w:pPr>
      <w:r>
        <w:rPr>
          <w:rFonts w:eastAsia="等线" w:ascii="Arial" w:cs="Arial" w:hAnsi="Arial"/>
          <w:sz w:val="22"/>
        </w:rPr>
        <w:t>绩效管理可否尝试按照all in price来管理，或者是现金流管理，价格构成中的基价肯定是存在的，discount目前对销售维护大客户也很重要，而且市场普遍存在discount，还可以处理包括一些资金在discount中。保留销售基价考核基础上，增加All in price的考核。</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1.2.1 </w:t>
      </w:r>
      <w:r>
        <w:rPr>
          <w:rFonts w:eastAsia="等线" w:ascii="Arial" w:cs="Arial" w:hAnsi="Arial"/>
          <w:b w:val="true"/>
          <w:sz w:val="30"/>
        </w:rPr>
        <w:t>核心业务逻辑：特殊折扣的“一事一议”管理</w:t>
      </w:r>
      <w:bookmarkEnd w:id="8"/>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1.2.1.1 </w:t>
      </w:r>
      <w:r>
        <w:rPr>
          <w:rFonts w:eastAsia="等线" w:ascii="Arial" w:cs="Arial" w:hAnsi="Arial"/>
          <w:b w:val="true"/>
          <w:sz w:val="28"/>
        </w:rPr>
        <w:t>折扣的触发场景</w:t>
      </w:r>
      <w:bookmarkEnd w:id="9"/>
    </w:p>
    <w:p>
      <w:pPr>
        <w:spacing w:before="120" w:after="120" w:line="288" w:lineRule="auto"/>
        <w:ind w:left="0"/>
        <w:jc w:val="left"/>
      </w:pPr>
      <w:r>
        <w:rPr>
          <w:rFonts w:eastAsia="等线" w:ascii="Arial" w:cs="Arial" w:hAnsi="Arial"/>
          <w:sz w:val="22"/>
        </w:rPr>
        <w:t>当标准定价（已包含固定加价和可变利润）仍无法促成交易时，会触发特殊折扣流程。典型场景包括：</w:t>
      </w:r>
    </w:p>
    <w:p>
      <w:pPr>
        <w:numPr>
          <w:numId w:val="18"/>
        </w:numPr>
        <w:spacing w:before="120" w:after="120" w:line="288" w:lineRule="auto"/>
        <w:ind w:left="0"/>
        <w:jc w:val="left"/>
      </w:pPr>
      <w:r>
        <w:rPr>
          <w:rFonts w:eastAsia="等线" w:ascii="Arial" w:cs="Arial" w:hAnsi="Arial"/>
          <w:sz w:val="22"/>
        </w:rPr>
        <w:t>战略/大客户施压：重要客户（如意大利第一大客户）以竞争对手报价更低为由，要求跟价，否则丢单（“你不跟，这100吨我就给别人”）。</w:t>
      </w:r>
    </w:p>
    <w:p>
      <w:pPr>
        <w:numPr>
          <w:numId w:val="19"/>
        </w:numPr>
        <w:spacing w:before="120" w:after="120" w:line="288" w:lineRule="auto"/>
        <w:ind w:left="0"/>
        <w:jc w:val="left"/>
      </w:pPr>
      <w:r>
        <w:rPr>
          <w:rFonts w:eastAsia="等线" w:ascii="Arial" w:cs="Arial" w:hAnsi="Arial"/>
          <w:sz w:val="22"/>
        </w:rPr>
        <w:t>市场疲软下的不得已让利：即使在可变利润已调降的情况下，销售仍遇阻，需要额外让步。</w:t>
      </w:r>
    </w:p>
    <w:p>
      <w:pPr>
        <w:pStyle w:val="4"/>
        <w:spacing w:before="260" w:after="120" w:line="288" w:lineRule="auto"/>
        <w:ind w:left="0"/>
        <w:jc w:val="left"/>
        <w:outlineLvl w:val="3"/>
      </w:pPr>
      <w:bookmarkStart w:name="heading_10" w:id="10"/>
      <w:r>
        <w:rPr>
          <w:rFonts w:eastAsia="等线" w:ascii="Arial" w:cs="Arial" w:hAnsi="Arial"/>
          <w:color w:val="3370ff"/>
          <w:sz w:val="28"/>
        </w:rPr>
        <w:t xml:space="preserve">1.2.1.2 </w:t>
      </w:r>
      <w:r>
        <w:rPr>
          <w:rFonts w:eastAsia="等线" w:ascii="Arial" w:cs="Arial" w:hAnsi="Arial"/>
          <w:b w:val="true"/>
          <w:sz w:val="28"/>
        </w:rPr>
        <w:t>折扣的决策机制——“一事一议”</w:t>
      </w:r>
      <w:bookmarkEnd w:id="10"/>
    </w:p>
    <w:p>
      <w:pPr>
        <w:numPr>
          <w:numId w:val="20"/>
        </w:numPr>
        <w:spacing w:before="120" w:after="120" w:line="288" w:lineRule="auto"/>
        <w:ind w:left="0"/>
        <w:jc w:val="left"/>
      </w:pPr>
      <w:r>
        <w:rPr>
          <w:rFonts w:eastAsia="等线" w:ascii="Arial" w:cs="Arial" w:hAnsi="Arial"/>
          <w:sz w:val="22"/>
        </w:rPr>
        <w:t>无固定档位：折扣点数没有预设的分档或比例，完全是根据具体竞争情况和客户价值临时决定。</w:t>
      </w:r>
    </w:p>
    <w:p>
      <w:pPr>
        <w:numPr>
          <w:numId w:val="21"/>
        </w:numPr>
        <w:spacing w:before="120" w:after="120" w:line="288" w:lineRule="auto"/>
        <w:ind w:left="0"/>
        <w:jc w:val="left"/>
      </w:pPr>
      <w:r>
        <w:rPr>
          <w:rFonts w:eastAsia="等线" w:ascii="Arial" w:cs="Arial" w:hAnsi="Arial"/>
          <w:sz w:val="22"/>
        </w:rPr>
        <w:t>逐单审批：销售人员（营销）向上级领导（如Dr. Mao）申请特殊权限，获批后方可执行。</w:t>
      </w:r>
    </w:p>
    <w:p>
      <w:pPr>
        <w:pStyle w:val="4"/>
        <w:spacing w:before="260" w:after="120" w:line="288" w:lineRule="auto"/>
        <w:ind w:left="0"/>
        <w:jc w:val="left"/>
        <w:outlineLvl w:val="3"/>
      </w:pPr>
      <w:bookmarkStart w:name="heading_11" w:id="11"/>
      <w:r>
        <w:rPr>
          <w:rFonts w:eastAsia="等线" w:ascii="Arial" w:cs="Arial" w:hAnsi="Arial"/>
          <w:color w:val="3370ff"/>
          <w:sz w:val="28"/>
        </w:rPr>
        <w:t xml:space="preserve">1.2.1.3 </w:t>
      </w:r>
      <w:r>
        <w:rPr>
          <w:rFonts w:eastAsia="等线" w:ascii="Arial" w:cs="Arial" w:hAnsi="Arial"/>
          <w:b w:val="true"/>
          <w:sz w:val="28"/>
        </w:rPr>
        <w:t>折扣的操作流程——由“特权部门”手工执行</w:t>
      </w:r>
      <w:bookmarkEnd w:id="11"/>
    </w:p>
    <w:p>
      <w:pPr>
        <w:spacing w:before="120" w:after="120" w:line="288" w:lineRule="auto"/>
        <w:ind w:left="0"/>
        <w:jc w:val="left"/>
      </w:pPr>
      <w:r>
        <w:rPr>
          <w:rFonts w:eastAsia="等线" w:ascii="Arial" w:cs="Arial" w:hAnsi="Arial"/>
          <w:sz w:val="22"/>
        </w:rPr>
        <w:t>这是一个高度集中且受控的操作，并非所有销售都能随意修改价格。</w:t>
      </w:r>
    </w:p>
    <w:p>
      <w:pPr>
        <w:numPr>
          <w:numId w:val="22"/>
        </w:numPr>
        <w:spacing w:before="120" w:after="120" w:line="288" w:lineRule="auto"/>
        <w:ind w:left="0"/>
        <w:jc w:val="left"/>
      </w:pPr>
      <w:r>
        <w:rPr>
          <w:rFonts w:eastAsia="等线" w:ascii="Arial" w:cs="Arial" w:hAnsi="Arial"/>
          <w:sz w:val="22"/>
        </w:rPr>
        <w:t>申请与授权：销售获得口头或邮件批准（通常会抄送管理层）后，将需求发给特定操作人员（记录中的Eric）。</w:t>
      </w:r>
    </w:p>
    <w:p>
      <w:pPr>
        <w:numPr>
          <w:numId w:val="23"/>
        </w:numPr>
        <w:spacing w:before="120" w:after="120" w:line="288" w:lineRule="auto"/>
        <w:ind w:left="0"/>
        <w:jc w:val="left"/>
      </w:pPr>
      <w:r>
        <w:rPr>
          <w:rFonts w:eastAsia="等线" w:ascii="Arial" w:cs="Arial" w:hAnsi="Arial"/>
          <w:sz w:val="22"/>
        </w:rPr>
        <w:t>系统操作权限：只有特定部门（如金属控制部门）有权限在系统中执行此操作。他们在CRM系统中手工创建带有折扣的固定价（fixation）。</w:t>
      </w:r>
    </w:p>
    <w:p>
      <w:pPr>
        <w:numPr>
          <w:numId w:val="24"/>
        </w:numPr>
        <w:spacing w:before="120" w:after="120" w:line="288" w:lineRule="auto"/>
        <w:ind w:left="0"/>
        <w:jc w:val="left"/>
      </w:pPr>
      <w:r>
        <w:rPr>
          <w:rFonts w:eastAsia="等线" w:ascii="Arial" w:cs="Arial" w:hAnsi="Arial"/>
          <w:sz w:val="22"/>
        </w:rPr>
        <w:t>临时性与时效性：折扣是临时开启的，交易完成后即关闭（“短时地给你开一下，然后你完成了我就给你关掉”）。</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1.2.2 </w:t>
      </w:r>
      <w:r>
        <w:rPr>
          <w:rFonts w:eastAsia="等线" w:ascii="Arial" w:cs="Arial" w:hAnsi="Arial"/>
          <w:b w:val="true"/>
          <w:sz w:val="30"/>
        </w:rPr>
        <w:t>财务映射：Discounts on Full Price bookings</w:t>
      </w:r>
      <w:bookmarkEnd w:id="12"/>
    </w:p>
    <w:p>
      <w:pPr>
        <w:spacing w:before="120" w:after="120" w:line="288" w:lineRule="auto"/>
        <w:ind w:left="0"/>
        <w:jc w:val="left"/>
      </w:pPr>
      <w:r>
        <w:rPr>
          <w:rFonts w:eastAsia="等线" w:ascii="Arial" w:cs="Arial" w:hAnsi="Arial"/>
          <w:sz w:val="22"/>
        </w:rPr>
        <w:t>这部分折扣在财务上体现在哪？</w:t>
      </w:r>
    </w:p>
    <w:p>
      <w:pPr>
        <w:numPr>
          <w:numId w:val="25"/>
        </w:numPr>
        <w:spacing w:before="120" w:after="120" w:line="288" w:lineRule="auto"/>
        <w:ind w:left="0"/>
        <w:jc w:val="left"/>
      </w:pPr>
      <w:r>
        <w:rPr>
          <w:rFonts w:eastAsia="等线" w:ascii="Arial" w:cs="Arial" w:hAnsi="Arial"/>
          <w:sz w:val="22"/>
        </w:rPr>
        <w:t>归集科目：所有此类特殊折扣的金额（折扣点数 × 交易量）汇总后，就落在财务科目 “全价经销折扣” 中。</w:t>
      </w:r>
    </w:p>
    <w:p>
      <w:pPr>
        <w:numPr>
          <w:numId w:val="26"/>
        </w:numPr>
        <w:spacing w:before="120" w:after="120" w:line="288" w:lineRule="auto"/>
        <w:ind w:left="0"/>
        <w:jc w:val="left"/>
      </w:pPr>
      <w:r>
        <w:rPr>
          <w:rFonts w:eastAsia="等线" w:ascii="Arial" w:cs="Arial" w:hAnsi="Arial"/>
          <w:sz w:val="22"/>
        </w:rPr>
        <w:t>规模特征：记录中强调该数值“非常有限”、“几乎为零”（YTD为3.2万欧元），表明这是一种例外管理的特殊手段，而非常规销售工具。</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1.2.3 </w:t>
      </w:r>
      <w:r>
        <w:rPr>
          <w:rFonts w:eastAsia="等线" w:ascii="Arial" w:cs="Arial" w:hAnsi="Arial"/>
          <w:b w:val="true"/>
          <w:sz w:val="30"/>
        </w:rPr>
        <w:t>关键争议点：管理矛盾与数据黑洞</w:t>
      </w:r>
      <w:bookmarkEnd w:id="13"/>
    </w:p>
    <w:p>
      <w:pPr>
        <w:spacing w:before="120" w:after="120" w:line="288" w:lineRule="auto"/>
        <w:ind w:left="0"/>
        <w:jc w:val="left"/>
      </w:pPr>
      <w:r>
        <w:rPr>
          <w:rFonts w:eastAsia="等线" w:ascii="Arial" w:cs="Arial" w:hAnsi="Arial"/>
          <w:sz w:val="22"/>
        </w:rPr>
        <w:t>这段对话最精彩的部分，是操作者（Eric）对这一流程的强烈反对，这揭示了深层次的管理意图与数据真实性的冲突。</w:t>
      </w:r>
    </w:p>
    <w:p>
      <w:pPr>
        <w:pStyle w:val="4"/>
        <w:spacing w:before="260" w:after="120" w:line="288" w:lineRule="auto"/>
        <w:ind w:left="0"/>
        <w:jc w:val="left"/>
        <w:outlineLvl w:val="3"/>
      </w:pPr>
      <w:bookmarkStart w:name="heading_14" w:id="14"/>
      <w:r>
        <w:rPr>
          <w:rFonts w:eastAsia="等线" w:ascii="Arial" w:cs="Arial" w:hAnsi="Arial"/>
          <w:color w:val="3370ff"/>
          <w:sz w:val="28"/>
        </w:rPr>
        <w:t xml:space="preserve">1.2.3.1 </w:t>
      </w:r>
      <w:r>
        <w:rPr>
          <w:rFonts w:eastAsia="等线" w:ascii="Arial" w:cs="Arial" w:hAnsi="Arial"/>
          <w:b w:val="true"/>
          <w:sz w:val="28"/>
        </w:rPr>
        <w:t>管理意图：掩盖真实的降价</w:t>
      </w:r>
      <w:bookmarkEnd w:id="14"/>
    </w:p>
    <w:p>
      <w:pPr>
        <w:numPr>
          <w:numId w:val="27"/>
        </w:numPr>
        <w:spacing w:before="120" w:after="120" w:line="288" w:lineRule="auto"/>
        <w:ind w:left="0"/>
        <w:jc w:val="left"/>
      </w:pPr>
      <w:r>
        <w:rPr>
          <w:rFonts w:eastAsia="等线" w:ascii="Arial" w:cs="Arial" w:hAnsi="Arial"/>
          <w:sz w:val="22"/>
        </w:rPr>
        <w:t>操作手法：折扣不直接体现在销售价格上，而是通过手工调整“金属成本”的方式实现。这样做的结果是：</w:t>
      </w:r>
    </w:p>
    <w:p>
      <w:pPr>
        <w:numPr>
          <w:numId w:val="28"/>
        </w:numPr>
        <w:spacing w:before="120" w:after="120" w:line="288" w:lineRule="auto"/>
        <w:ind w:left="453"/>
        <w:jc w:val="left"/>
      </w:pPr>
      <w:r>
        <w:rPr>
          <w:rFonts w:eastAsia="等线" w:ascii="Arial" w:cs="Arial" w:hAnsi="Arial"/>
          <w:sz w:val="22"/>
        </w:rPr>
        <w:t>表面现象：对外和对内报表中，产品的加工费（Margin）看起来保持不变，与卖给其他高价客户的数据无异。</w:t>
      </w:r>
    </w:p>
    <w:p>
      <w:pPr>
        <w:numPr>
          <w:numId w:val="29"/>
        </w:numPr>
        <w:spacing w:before="120" w:after="120" w:line="288" w:lineRule="auto"/>
        <w:ind w:left="453"/>
        <w:jc w:val="left"/>
      </w:pPr>
      <w:r>
        <w:rPr>
          <w:rFonts w:eastAsia="等线" w:ascii="Arial" w:cs="Arial" w:hAnsi="Arial"/>
          <w:sz w:val="22"/>
        </w:rPr>
        <w:t>实际结果：降价部分被隐藏在金属科目里，整体利润下降，但责任归属不清。</w:t>
      </w:r>
    </w:p>
    <w:p>
      <w:pPr>
        <w:numPr>
          <w:numId w:val="30"/>
        </w:numPr>
        <w:spacing w:before="120" w:after="120" w:line="288" w:lineRule="auto"/>
        <w:ind w:left="0"/>
        <w:jc w:val="left"/>
      </w:pPr>
      <w:r>
        <w:rPr>
          <w:rFonts w:eastAsia="等线" w:ascii="Arial" w:cs="Arial" w:hAnsi="Arial"/>
          <w:sz w:val="22"/>
        </w:rPr>
        <w:t>动机分析：销售部门可能为了维护业绩考核指标（如加工费水平），不愿意在报表上显示加工费为负或大幅下降。</w:t>
      </w:r>
    </w:p>
    <w:p>
      <w:pPr>
        <w:pStyle w:val="4"/>
        <w:spacing w:before="260" w:after="120" w:line="288" w:lineRule="auto"/>
        <w:ind w:left="0"/>
        <w:jc w:val="left"/>
        <w:outlineLvl w:val="3"/>
      </w:pPr>
      <w:bookmarkStart w:name="heading_15" w:id="15"/>
      <w:r>
        <w:rPr>
          <w:rFonts w:eastAsia="等线" w:ascii="Arial" w:cs="Arial" w:hAnsi="Arial"/>
          <w:color w:val="3370ff"/>
          <w:sz w:val="28"/>
        </w:rPr>
        <w:t xml:space="preserve">1.2.3.2 </w:t>
      </w:r>
      <w:r>
        <w:rPr>
          <w:rFonts w:eastAsia="等线" w:ascii="Arial" w:cs="Arial" w:hAnsi="Arial"/>
          <w:b w:val="true"/>
          <w:sz w:val="28"/>
        </w:rPr>
        <w:t>操作者的反对：主张面对现实</w:t>
      </w:r>
      <w:bookmarkEnd w:id="15"/>
    </w:p>
    <w:p>
      <w:pPr>
        <w:numPr>
          <w:numId w:val="31"/>
        </w:numPr>
        <w:spacing w:before="120" w:after="120" w:line="288" w:lineRule="auto"/>
        <w:ind w:left="0"/>
        <w:jc w:val="left"/>
      </w:pPr>
      <w:r>
        <w:rPr>
          <w:rFonts w:eastAsia="等线" w:ascii="Arial" w:cs="Arial" w:hAnsi="Arial"/>
          <w:sz w:val="22"/>
        </w:rPr>
        <w:t>核心观点：Eric认为这是在“把问题藏在地毯下”。他主张：</w:t>
      </w:r>
    </w:p>
    <w:p>
      <w:pPr>
        <w:numPr>
          <w:numId w:val="32"/>
        </w:numPr>
        <w:spacing w:before="120" w:after="120" w:line="288" w:lineRule="auto"/>
        <w:ind w:left="453"/>
        <w:jc w:val="left"/>
      </w:pPr>
      <w:r>
        <w:rPr>
          <w:rFonts w:eastAsia="等线" w:ascii="Arial" w:cs="Arial" w:hAnsi="Arial"/>
          <w:sz w:val="22"/>
        </w:rPr>
        <w:t>数据真实：如果这笔交易是负利润或低利润，就应该在数据中如实反映出来（“负的就负的，你要面对现实”）。</w:t>
      </w:r>
    </w:p>
    <w:p>
      <w:pPr>
        <w:numPr>
          <w:numId w:val="33"/>
        </w:numPr>
        <w:spacing w:before="120" w:after="120" w:line="288" w:lineRule="auto"/>
        <w:ind w:left="453"/>
        <w:jc w:val="left"/>
      </w:pPr>
      <w:r>
        <w:rPr>
          <w:rFonts w:eastAsia="等线" w:ascii="Arial" w:cs="Arial" w:hAnsi="Arial"/>
          <w:sz w:val="22"/>
        </w:rPr>
        <w:t>管理失真：这种操作导致无法从报表中看清每个客户真实的附加值贡献。当管理者（SBI层级）查看客户 profitability 时，看到的是经过美化的数据，无法识别出哪些客户是靠特殊折扣维系的。</w:t>
      </w:r>
    </w:p>
    <w:p>
      <w:pPr>
        <w:numPr>
          <w:numId w:val="34"/>
        </w:numPr>
        <w:spacing w:before="120" w:after="120" w:line="288" w:lineRule="auto"/>
        <w:ind w:left="0"/>
        <w:jc w:val="left"/>
      </w:pPr>
      <w:r>
        <w:rPr>
          <w:rFonts w:eastAsia="等线" w:ascii="Arial" w:cs="Arial" w:hAnsi="Arial"/>
          <w:sz w:val="22"/>
        </w:rPr>
        <w:t>后果：这种“隐藏”导致公司管理层无法做出准确判断——到底是市场真的不好，还是销售能力问题，或者是特定客户价值下降？所有问题都被一个汇总的“全价经销折扣”科目掩盖了。</w:t>
      </w:r>
    </w:p>
    <w:p>
      <w:pPr>
        <w:pStyle w:val="4"/>
        <w:spacing w:before="260" w:after="120" w:line="288" w:lineRule="auto"/>
        <w:ind w:left="0"/>
        <w:jc w:val="left"/>
        <w:outlineLvl w:val="3"/>
      </w:pPr>
      <w:bookmarkStart w:name="heading_16" w:id="16"/>
      <w:r>
        <w:rPr>
          <w:rFonts w:eastAsia="等线" w:ascii="Arial" w:cs="Arial" w:hAnsi="Arial"/>
          <w:color w:val="3370ff"/>
          <w:sz w:val="28"/>
        </w:rPr>
        <w:t xml:space="preserve">1.2.3.3 </w:t>
      </w:r>
      <w:r>
        <w:rPr>
          <w:rFonts w:eastAsia="等线" w:ascii="Arial" w:cs="Arial" w:hAnsi="Arial"/>
          <w:b w:val="true"/>
          <w:sz w:val="28"/>
        </w:rPr>
        <w:t>系统层面的盲区</w:t>
      </w:r>
      <w:bookmarkEnd w:id="16"/>
    </w:p>
    <w:p>
      <w:pPr>
        <w:numPr>
          <w:numId w:val="35"/>
        </w:numPr>
        <w:spacing w:before="120" w:after="120" w:line="288" w:lineRule="auto"/>
        <w:ind w:left="0"/>
        <w:jc w:val="left"/>
      </w:pPr>
      <w:r>
        <w:rPr>
          <w:rFonts w:eastAsia="等线" w:ascii="Arial" w:cs="Arial" w:hAnsi="Arial"/>
          <w:sz w:val="22"/>
        </w:rPr>
        <w:t>不可追溯：记录最后指出，系统里无法直接追溯这个折扣对应哪个客户、哪笔交易。如果想查，必须手动去翻找原始邮件或记录（“you would have to go and grab it”）。</w:t>
      </w:r>
    </w:p>
    <w:p>
      <w:pPr>
        <w:numPr>
          <w:numId w:val="36"/>
        </w:numPr>
        <w:spacing w:before="120" w:after="120" w:line="288" w:lineRule="auto"/>
        <w:ind w:left="0"/>
        <w:jc w:val="left"/>
      </w:pPr>
      <w:r>
        <w:rPr>
          <w:rFonts w:eastAsia="等线" w:ascii="Arial" w:cs="Arial" w:hAnsi="Arial"/>
          <w:sz w:val="22"/>
        </w:rPr>
        <w:t>信息孤岛：折扣信息在CRM里由特权部门手工录入，但并未与CTRM或财务分析系统有效集成，形成了数据黑洞。</w:t>
      </w: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1.3 </w:t>
      </w:r>
      <w:r>
        <w:rPr>
          <w:rFonts w:eastAsia="等线" w:ascii="Arial" w:cs="Arial" w:hAnsi="Arial"/>
          <w:b w:val="true"/>
          <w:sz w:val="32"/>
        </w:rPr>
        <w:t>Result on conversion 来料加工业务金属损益</w:t>
      </w:r>
      <w:bookmarkEnd w:id="17"/>
    </w:p>
    <w:p>
      <w:pPr>
        <w:spacing w:before="120" w:after="120" w:line="288" w:lineRule="auto"/>
        <w:ind w:left="0"/>
        <w:jc w:val="left"/>
      </w:pPr>
      <w:r>
        <w:rPr>
          <w:rFonts w:eastAsia="等线" w:ascii="Arial" w:cs="Arial" w:hAnsi="Arial"/>
          <w:sz w:val="22"/>
        </w:rPr>
        <w:t>标准转化率维护：第三行的回料业务结果基于与客户的回料生意，按标准熔炼损耗和转化率计算。标准转化率维护在 CRM 的主数据中，不同物料对应不同的标准转化率。计算示例：以客户交付 110 千克回料为例，按标准熔炼损耗计算可生产 102 千克成品，但只需给客户 100 千克，剩余 2 千克即为利润。利润计算按月底 LME 现金价格进行。</w:t>
      </w:r>
    </w:p>
    <w:p>
      <w:pPr>
        <w:spacing w:before="120" w:after="120" w:line="288" w:lineRule="auto"/>
        <w:ind w:left="0"/>
        <w:jc w:val="left"/>
      </w:pPr>
      <w:r>
        <w:rPr>
          <w:rFonts w:eastAsia="等线" w:ascii="Arial" w:cs="Arial" w:hAnsi="Arial"/>
          <w:sz w:val="22"/>
        </w:rPr>
        <w:t>差异体现方式：实际回料的油水含量等因素可能导致与标准的差异，这种差异在盘库时体现。若实际损耗低于标准损耗，会产生利润；若高于标准损耗，则会造成损失。</w:t>
      </w:r>
    </w:p>
    <w:p>
      <w:pPr>
        <w:spacing w:before="120" w:after="120" w:line="288" w:lineRule="auto"/>
        <w:ind w:left="0"/>
        <w:jc w:val="left"/>
      </w:pPr>
      <w:r>
        <w:rPr>
          <w:rFonts w:eastAsia="等线" w:ascii="Arial" w:cs="Arial" w:hAnsi="Arial"/>
          <w:sz w:val="22"/>
        </w:rPr>
        <w:t>数据录入与处理：营销或采购部门在输入物料数据时，需按扣减后的实际数量录入。扣减部分在本月回料结果中体现，未扣减但有差异的部分在盘库时显现。</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1.3.1 </w:t>
      </w:r>
      <w:r>
        <w:rPr>
          <w:rFonts w:eastAsia="等线" w:ascii="Arial" w:cs="Arial" w:hAnsi="Arial"/>
          <w:b w:val="true"/>
          <w:sz w:val="30"/>
        </w:rPr>
        <w:t>核心业务逻辑：来料加工业务的利润模型</w:t>
      </w:r>
      <w:bookmarkEnd w:id="18"/>
    </w:p>
    <w:p>
      <w:pPr>
        <w:spacing w:before="120" w:after="120" w:line="288" w:lineRule="auto"/>
        <w:ind w:left="0"/>
        <w:jc w:val="left"/>
      </w:pPr>
      <w:r>
        <w:rPr>
          <w:rFonts w:eastAsia="等线" w:ascii="Arial" w:cs="Arial" w:hAnsi="Arial"/>
          <w:sz w:val="22"/>
        </w:rPr>
        <w:t>来料加工业务的核心是：客户提供废料（如车屑），公司利用这些废料生产出成品合金后返还给客户。公司的利润来自于“投入产出差”减去“返还量”后剩下的那部分金属的价值。</w:t>
      </w:r>
    </w:p>
    <w:p>
      <w:pPr>
        <w:pStyle w:val="4"/>
        <w:spacing w:before="260" w:after="120" w:line="288" w:lineRule="auto"/>
        <w:ind w:left="0"/>
        <w:jc w:val="left"/>
        <w:outlineLvl w:val="3"/>
      </w:pPr>
      <w:bookmarkStart w:name="heading_19" w:id="19"/>
      <w:r>
        <w:rPr>
          <w:rFonts w:eastAsia="等线" w:ascii="Arial" w:cs="Arial" w:hAnsi="Arial"/>
          <w:color w:val="3370ff"/>
          <w:sz w:val="28"/>
        </w:rPr>
        <w:t xml:space="preserve">1.3.1.1 </w:t>
      </w:r>
      <w:r>
        <w:rPr>
          <w:rFonts w:eastAsia="等线" w:ascii="Arial" w:cs="Arial" w:hAnsi="Arial"/>
          <w:b w:val="true"/>
          <w:sz w:val="28"/>
        </w:rPr>
        <w:t>利润来源：加工比例差与标准损耗</w:t>
      </w:r>
      <w:bookmarkEnd w:id="19"/>
    </w:p>
    <w:p>
      <w:pPr>
        <w:numPr>
          <w:numId w:val="37"/>
        </w:numPr>
        <w:spacing w:before="120" w:after="120" w:line="288" w:lineRule="auto"/>
        <w:ind w:left="0"/>
        <w:jc w:val="left"/>
      </w:pPr>
      <w:r>
        <w:rPr>
          <w:rFonts w:eastAsia="等线" w:ascii="Arial" w:cs="Arial" w:hAnsi="Arial"/>
          <w:sz w:val="22"/>
        </w:rPr>
        <w:t>商业谈判决定基础利润：销售团队与每个客户单独谈判“加工比例”。例如：</w:t>
      </w:r>
    </w:p>
    <w:p>
      <w:pPr>
        <w:numPr>
          <w:numId w:val="38"/>
        </w:numPr>
        <w:spacing w:before="120" w:after="120" w:line="288" w:lineRule="auto"/>
        <w:ind w:left="453"/>
        <w:jc w:val="left"/>
      </w:pPr>
      <w:r>
        <w:rPr>
          <w:rFonts w:eastAsia="等线" w:ascii="Arial" w:cs="Arial" w:hAnsi="Arial"/>
          <w:sz w:val="22"/>
        </w:rPr>
        <w:t>客户A：投入110公斤车屑，返还100公斤成品。</w:t>
      </w:r>
    </w:p>
    <w:p>
      <w:pPr>
        <w:numPr>
          <w:numId w:val="39"/>
        </w:numPr>
        <w:spacing w:before="120" w:after="120" w:line="288" w:lineRule="auto"/>
        <w:ind w:left="453"/>
        <w:jc w:val="left"/>
      </w:pPr>
      <w:r>
        <w:rPr>
          <w:rFonts w:eastAsia="等线" w:ascii="Arial" w:cs="Arial" w:hAnsi="Arial"/>
          <w:sz w:val="22"/>
        </w:rPr>
        <w:t>客户B：投入112公斤车屑，返还100公斤成品。</w:t>
      </w:r>
    </w:p>
    <w:p>
      <w:pPr>
        <w:numPr>
          <w:numId w:val="40"/>
        </w:numPr>
        <w:spacing w:before="120" w:after="120" w:line="288" w:lineRule="auto"/>
        <w:ind w:left="453"/>
        <w:jc w:val="left"/>
      </w:pPr>
      <w:r>
        <w:rPr>
          <w:rFonts w:eastAsia="等线" w:ascii="Arial" w:cs="Arial" w:hAnsi="Arial"/>
          <w:sz w:val="22"/>
        </w:rPr>
        <w:t>比例差越大，公司潜在利润越高。</w:t>
      </w:r>
    </w:p>
    <w:p>
      <w:pPr>
        <w:numPr>
          <w:numId w:val="41"/>
        </w:numPr>
        <w:spacing w:before="120" w:after="120" w:line="288" w:lineRule="auto"/>
        <w:ind w:left="0"/>
        <w:jc w:val="left"/>
      </w:pPr>
      <w:r>
        <w:rPr>
          <w:rFonts w:eastAsia="等线" w:ascii="Arial" w:cs="Arial" w:hAnsi="Arial"/>
          <w:sz w:val="22"/>
        </w:rPr>
        <w:t>标准熔炼损耗（Standard Melting Loss）：公司为每种废料（物料号）维护一个标准产出率。这个标准包含了正常的熔炼损耗、元素氧化损失以及标准湿度（humidity）。</w:t>
      </w:r>
    </w:p>
    <w:p>
      <w:pPr>
        <w:numPr>
          <w:numId w:val="42"/>
        </w:numPr>
        <w:spacing w:before="120" w:after="120" w:line="288" w:lineRule="auto"/>
        <w:ind w:left="453"/>
        <w:jc w:val="left"/>
      </w:pPr>
      <w:r>
        <w:rPr>
          <w:rFonts w:eastAsia="等线" w:ascii="Arial" w:cs="Arial" w:hAnsi="Arial"/>
          <w:sz w:val="22"/>
        </w:rPr>
        <w:t>例如：某类车屑的标准是投入100公斤，产出93.6公斤。这意味着标准损耗为6.4%（已含湿度）。</w:t>
      </w:r>
    </w:p>
    <w:p>
      <w:pPr>
        <w:numPr>
          <w:numId w:val="43"/>
        </w:numPr>
        <w:spacing w:before="120" w:after="120" w:line="288" w:lineRule="auto"/>
        <w:ind w:left="0"/>
        <w:jc w:val="left"/>
      </w:pPr>
      <w:r>
        <w:rPr>
          <w:rFonts w:eastAsia="等线" w:ascii="Arial" w:cs="Arial" w:hAnsi="Arial"/>
          <w:sz w:val="22"/>
        </w:rPr>
        <w:t>商业利润计算（Result on Conversion）：</w:t>
      </w:r>
    </w:p>
    <w:p>
      <w:pPr>
        <w:numPr>
          <w:numId w:val="44"/>
        </w:numPr>
        <w:spacing w:before="120" w:after="120" w:line="288" w:lineRule="auto"/>
        <w:ind w:left="453"/>
        <w:jc w:val="left"/>
      </w:pPr>
      <w:r>
        <w:rPr>
          <w:rFonts w:eastAsia="等线" w:ascii="Arial" w:cs="Arial" w:hAnsi="Arial"/>
          <w:sz w:val="22"/>
        </w:rPr>
        <w:t>逻辑：用客户投入的量 × 标准产出率 = 理论上能产出的成品总量。再减去要返还给客户的成品量，剩下的就是公司的利润（以公斤计）。</w:t>
      </w:r>
    </w:p>
    <w:p>
      <w:pPr>
        <w:numPr>
          <w:numId w:val="45"/>
        </w:numPr>
        <w:spacing w:before="120" w:after="120" w:line="288" w:lineRule="auto"/>
        <w:ind w:left="453"/>
        <w:jc w:val="left"/>
      </w:pPr>
      <w:r>
        <w:rPr>
          <w:rFonts w:eastAsia="等线" w:ascii="Arial" w:cs="Arial" w:hAnsi="Arial"/>
          <w:sz w:val="22"/>
        </w:rPr>
        <w:t>公式：</w:t>
      </w:r>
      <w:r>
        <w:rPr>
          <w:rFonts w:eastAsia="Consolas" w:ascii="Consolas" w:cs="Consolas" w:hAnsi="Consolas"/>
          <w:sz w:val="22"/>
          <w:shd w:fill="EFF0F1"/>
        </w:rPr>
        <w:t>利润（公斤） = （客户投入量 × 标准产出率） - 返还客户量</w:t>
      </w:r>
    </w:p>
    <w:p>
      <w:pPr>
        <w:numPr>
          <w:numId w:val="46"/>
        </w:numPr>
        <w:spacing w:before="120" w:after="120" w:line="288" w:lineRule="auto"/>
        <w:ind w:left="453"/>
        <w:jc w:val="left"/>
      </w:pPr>
      <w:r>
        <w:rPr>
          <w:rFonts w:eastAsia="等线" w:ascii="Arial" w:cs="Arial" w:hAnsi="Arial"/>
          <w:sz w:val="22"/>
        </w:rPr>
        <w:t>示例：客户投入110公斤，标准产出率93.6%，理论产出103公斤。返还100公斤。则公司利润为 3公斤成品。</w:t>
      </w:r>
    </w:p>
    <w:p>
      <w:pPr>
        <w:spacing w:before="120" w:after="120" w:line="288" w:lineRule="auto"/>
        <w:ind w:left="0"/>
        <w:jc w:val="left"/>
      </w:pPr>
    </w:p>
    <w:p>
      <w:pPr>
        <w:pStyle w:val="4"/>
        <w:spacing w:before="260" w:after="120" w:line="288" w:lineRule="auto"/>
        <w:ind w:left="0"/>
        <w:jc w:val="left"/>
        <w:outlineLvl w:val="3"/>
      </w:pPr>
      <w:bookmarkStart w:name="heading_20" w:id="20"/>
      <w:r>
        <w:rPr>
          <w:rFonts w:eastAsia="等线" w:ascii="Arial" w:cs="Arial" w:hAnsi="Arial"/>
          <w:color w:val="3370ff"/>
          <w:sz w:val="28"/>
        </w:rPr>
        <w:t xml:space="preserve">1.3.1.2 </w:t>
      </w:r>
      <w:r>
        <w:rPr>
          <w:rFonts w:eastAsia="等线" w:ascii="Arial" w:cs="Arial" w:hAnsi="Arial"/>
          <w:b w:val="true"/>
          <w:sz w:val="28"/>
        </w:rPr>
        <w:t>利润的价值化：月末估值（Greenlist）</w:t>
      </w:r>
      <w:bookmarkEnd w:id="20"/>
    </w:p>
    <w:p>
      <w:pPr>
        <w:spacing w:before="120" w:after="120" w:line="288" w:lineRule="auto"/>
        <w:ind w:left="0"/>
        <w:jc w:val="left"/>
      </w:pPr>
      <w:r>
        <w:rPr>
          <w:rFonts w:eastAsia="等线" w:ascii="Arial" w:cs="Arial" w:hAnsi="Arial"/>
          <w:sz w:val="22"/>
        </w:rPr>
        <w:t>这部分利润是实物（公斤），需要转换成金额，体现在财务报表的“来料加工业务金属损益”科目中。</w:t>
      </w:r>
    </w:p>
    <w:p>
      <w:pPr>
        <w:numPr>
          <w:numId w:val="47"/>
        </w:numPr>
        <w:spacing w:before="120" w:after="120" w:line="288" w:lineRule="auto"/>
        <w:ind w:left="0"/>
        <w:jc w:val="left"/>
      </w:pPr>
      <w:r>
        <w:rPr>
          <w:rFonts w:eastAsia="等线" w:ascii="Arial" w:cs="Arial" w:hAnsi="Arial"/>
          <w:sz w:val="22"/>
        </w:rPr>
        <w:t>估值对象：上述计算得出的“利润公斤数”（例如3公斤成品）。但这3公斤成品并非单一金属，而是合金。</w:t>
      </w:r>
    </w:p>
    <w:p>
      <w:pPr>
        <w:numPr>
          <w:numId w:val="48"/>
        </w:numPr>
        <w:spacing w:before="120" w:after="120" w:line="288" w:lineRule="auto"/>
        <w:ind w:left="0"/>
        <w:jc w:val="left"/>
      </w:pPr>
      <w:r>
        <w:rPr>
          <w:rFonts w:eastAsia="等线" w:ascii="Arial" w:cs="Arial" w:hAnsi="Arial"/>
          <w:sz w:val="22"/>
        </w:rPr>
        <w:t>拆分为金属：将这3公斤利润成品，按照其标准化学成分（如C32合金含58%铜、39%锌、3%铅），拆解为对应的金属量（如1.74公斤铜、1.17公斤锌、0.09公斤铅）。</w:t>
      </w:r>
    </w:p>
    <w:p>
      <w:pPr>
        <w:numPr>
          <w:numId w:val="49"/>
        </w:numPr>
        <w:spacing w:before="120" w:after="120" w:line="288" w:lineRule="auto"/>
        <w:ind w:left="0"/>
        <w:jc w:val="left"/>
      </w:pPr>
      <w:r>
        <w:rPr>
          <w:rFonts w:eastAsia="等线" w:ascii="Arial" w:cs="Arial" w:hAnsi="Arial"/>
          <w:sz w:val="22"/>
        </w:rPr>
        <w:t>赋予价格——Greenlist逻辑：</w:t>
      </w:r>
    </w:p>
    <w:p>
      <w:pPr>
        <w:numPr>
          <w:numId w:val="50"/>
        </w:numPr>
        <w:spacing w:before="120" w:after="120" w:line="288" w:lineRule="auto"/>
        <w:ind w:left="453"/>
        <w:jc w:val="left"/>
      </w:pPr>
      <w:r>
        <w:rPr>
          <w:rFonts w:eastAsia="等线" w:ascii="Arial" w:cs="Arial" w:hAnsi="Arial"/>
          <w:sz w:val="22"/>
        </w:rPr>
        <w:t>价格来源：使用Greenlist价格。这是公司内部月末估值使用的标准价格。</w:t>
      </w:r>
    </w:p>
    <w:p>
      <w:pPr>
        <w:numPr>
          <w:numId w:val="51"/>
        </w:numPr>
        <w:spacing w:before="120" w:after="120" w:line="288" w:lineRule="auto"/>
        <w:ind w:left="453"/>
        <w:jc w:val="left"/>
      </w:pPr>
      <w:r>
        <w:rPr>
          <w:rFonts w:eastAsia="等线" w:ascii="Arial" w:cs="Arial" w:hAnsi="Arial"/>
          <w:sz w:val="22"/>
        </w:rPr>
        <w:t>Greenlist如何计算：</w:t>
      </w:r>
    </w:p>
    <w:p>
      <w:pPr>
        <w:numPr>
          <w:numId w:val="52"/>
        </w:numPr>
        <w:spacing w:before="120" w:after="120" w:line="288" w:lineRule="auto"/>
        <w:ind w:left="907"/>
        <w:jc w:val="left"/>
      </w:pPr>
      <w:r>
        <w:rPr>
          <w:rFonts w:eastAsia="等线" w:ascii="Arial" w:cs="Arial" w:hAnsi="Arial"/>
          <w:sz w:val="22"/>
        </w:rPr>
        <w:t>基础：取当月最后一天的LME官方结算价。</w:t>
      </w:r>
    </w:p>
    <w:p>
      <w:pPr>
        <w:numPr>
          <w:numId w:val="53"/>
        </w:numPr>
        <w:spacing w:before="120" w:after="120" w:line="288" w:lineRule="auto"/>
        <w:ind w:left="907"/>
        <w:jc w:val="left"/>
      </w:pPr>
      <w:r>
        <w:rPr>
          <w:rFonts w:eastAsia="等线" w:ascii="Arial" w:cs="Arial" w:hAnsi="Arial"/>
          <w:sz w:val="22"/>
        </w:rPr>
        <w:t>调整：加减当月所有采购入库的该类金属的平均升贴水（Premium/Discount）。例如，当月所有铜废料采购的平均折扣是LME-400，则这个-400会被应用。</w:t>
      </w:r>
    </w:p>
    <w:p>
      <w:pPr>
        <w:numPr>
          <w:numId w:val="54"/>
        </w:numPr>
        <w:spacing w:before="120" w:after="120" w:line="288" w:lineRule="auto"/>
        <w:ind w:left="453"/>
        <w:jc w:val="left"/>
      </w:pPr>
      <w:r>
        <w:rPr>
          <w:rFonts w:eastAsia="等线" w:ascii="Arial" w:cs="Arial" w:hAnsi="Arial"/>
          <w:sz w:val="22"/>
        </w:rPr>
        <w:t>去利润：对于成品合金，需要减去我们在上一张表中提到的固定加价（Fixed Margin，如110欧元/吨）。因为这是内部估值，要还原金属本身的“无利润”价值。</w:t>
      </w:r>
    </w:p>
    <w:p>
      <w:pPr>
        <w:numPr>
          <w:numId w:val="55"/>
        </w:numPr>
        <w:spacing w:before="120" w:after="120" w:line="288" w:lineRule="auto"/>
        <w:ind w:left="453"/>
        <w:jc w:val="left"/>
      </w:pPr>
      <w:r>
        <w:rPr>
          <w:rFonts w:eastAsia="等线" w:ascii="Arial" w:cs="Arial" w:hAnsi="Arial"/>
          <w:sz w:val="22"/>
        </w:rPr>
        <w:t>计算：</w:t>
      </w:r>
      <w:r>
        <w:rPr>
          <w:rFonts w:eastAsia="Consolas" w:ascii="Consolas" w:cs="Consolas" w:hAnsi="Consolas"/>
          <w:sz w:val="22"/>
          <w:shd w:fill="EFF0F1"/>
        </w:rPr>
        <w:t>利润金额 = 利润铜公斤数 ×（ 铜的Greenlist价格-margin） + 利润锌公斤数 × 锌的(Greenlist价格-margin) + ...</w:t>
      </w:r>
    </w:p>
    <w:p>
      <w:pPr>
        <w:pStyle w:val="4"/>
        <w:spacing w:before="260" w:after="120" w:line="288" w:lineRule="auto"/>
        <w:ind w:left="0"/>
        <w:jc w:val="left"/>
        <w:outlineLvl w:val="3"/>
      </w:pPr>
      <w:bookmarkStart w:name="heading_21" w:id="21"/>
      <w:r>
        <w:rPr>
          <w:rFonts w:eastAsia="等线" w:ascii="Arial" w:cs="Arial" w:hAnsi="Arial"/>
          <w:color w:val="3370ff"/>
          <w:sz w:val="28"/>
        </w:rPr>
        <w:t xml:space="preserve">1.3.1.3 </w:t>
      </w:r>
      <w:r>
        <w:rPr>
          <w:rFonts w:eastAsia="等线" w:ascii="Arial" w:cs="Arial" w:hAnsi="Arial"/>
          <w:b w:val="true"/>
          <w:sz w:val="28"/>
        </w:rPr>
        <w:t>实际执行中的偏差处理：标准与现实的差距</w:t>
      </w:r>
      <w:bookmarkEnd w:id="21"/>
    </w:p>
    <w:p>
      <w:pPr>
        <w:spacing w:before="120" w:after="120" w:line="288" w:lineRule="auto"/>
        <w:ind w:left="0"/>
        <w:jc w:val="left"/>
      </w:pPr>
      <w:r>
        <w:rPr>
          <w:rFonts w:eastAsia="等线" w:ascii="Arial" w:cs="Arial" w:hAnsi="Arial"/>
          <w:sz w:val="22"/>
        </w:rPr>
        <w:t>实际收到的废料不可能完全符合标准。会议记录详细讨论了如何处理这些偏差。</w:t>
      </w:r>
    </w:p>
    <w:p>
      <w:pPr>
        <w:numPr>
          <w:numId w:val="56"/>
        </w:numPr>
        <w:spacing w:before="120" w:after="120" w:line="288" w:lineRule="auto"/>
        <w:ind w:left="0"/>
        <w:jc w:val="left"/>
      </w:pPr>
      <w:r>
        <w:rPr>
          <w:rFonts w:eastAsia="等线" w:ascii="Arial" w:cs="Arial" w:hAnsi="Arial"/>
          <w:sz w:val="22"/>
        </w:rPr>
        <w:t>情况一：质量优于标准（如湿度低于标准、铜含量更高）</w:t>
      </w:r>
    </w:p>
    <w:p>
      <w:pPr>
        <w:numPr>
          <w:numId w:val="57"/>
        </w:numPr>
        <w:spacing w:before="120" w:after="120" w:line="288" w:lineRule="auto"/>
        <w:ind w:left="453"/>
        <w:jc w:val="left"/>
      </w:pPr>
      <w:r>
        <w:rPr>
          <w:rFonts w:eastAsia="等线" w:ascii="Arial" w:cs="Arial" w:hAnsi="Arial"/>
          <w:sz w:val="22"/>
        </w:rPr>
        <w:t>处理：生产中实际产出的成品会多于按标准计算的理论值。这个“超额利润”不会体现在“来料加工业务金属损益”这个商业利润科目中。</w:t>
      </w:r>
    </w:p>
    <w:p>
      <w:pPr>
        <w:numPr>
          <w:numId w:val="58"/>
        </w:numPr>
        <w:spacing w:before="120" w:after="120" w:line="288" w:lineRule="auto"/>
        <w:ind w:left="453"/>
        <w:jc w:val="left"/>
      </w:pPr>
      <w:r>
        <w:rPr>
          <w:rFonts w:eastAsia="等线" w:ascii="Arial" w:cs="Arial" w:hAnsi="Arial"/>
          <w:sz w:val="22"/>
        </w:rPr>
        <w:t>去向：它会在月末库存盘点时，通过库存价值的重估体现出来，进入库存损益（Inventory Result / Non-commercial part）。</w:t>
      </w:r>
    </w:p>
    <w:p>
      <w:pPr>
        <w:numPr>
          <w:numId w:val="59"/>
        </w:numPr>
        <w:spacing w:before="120" w:after="120" w:line="288" w:lineRule="auto"/>
        <w:ind w:left="0"/>
        <w:jc w:val="left"/>
      </w:pPr>
      <w:r>
        <w:rPr>
          <w:rFonts w:eastAsia="等线" w:ascii="Arial" w:cs="Arial" w:hAnsi="Arial"/>
          <w:sz w:val="22"/>
        </w:rPr>
        <w:t>情况二：质量劣于标准且被拒收（如湿度超过合同上限）</w:t>
      </w:r>
    </w:p>
    <w:p>
      <w:pPr>
        <w:numPr>
          <w:numId w:val="60"/>
        </w:numPr>
        <w:spacing w:before="120" w:after="120" w:line="288" w:lineRule="auto"/>
        <w:ind w:left="453"/>
        <w:jc w:val="left"/>
      </w:pPr>
      <w:r>
        <w:rPr>
          <w:rFonts w:eastAsia="等线" w:ascii="Arial" w:cs="Arial" w:hAnsi="Arial"/>
          <w:sz w:val="22"/>
        </w:rPr>
        <w:t>处理：这是与客户的博弈。</w:t>
      </w:r>
    </w:p>
    <w:p>
      <w:pPr>
        <w:numPr>
          <w:numId w:val="61"/>
        </w:numPr>
        <w:spacing w:before="120" w:after="120" w:line="288" w:lineRule="auto"/>
        <w:ind w:left="907"/>
        <w:jc w:val="left"/>
      </w:pPr>
      <w:r>
        <w:rPr>
          <w:rFonts w:eastAsia="等线" w:ascii="Arial" w:cs="Arial" w:hAnsi="Arial"/>
          <w:sz w:val="22"/>
        </w:rPr>
        <w:t>扣减操作：如果客户同意扣减，公司在系统（CTRM/ACP）录入收货时，直接按扣减后的净重入账（例如，应收110公斤，因湿度超标扣1公斤，实收109公斤）。这样，后续的标准损耗计算都基于109公斤，偏差已被消除。</w:t>
      </w:r>
    </w:p>
    <w:p>
      <w:pPr>
        <w:numPr>
          <w:numId w:val="62"/>
        </w:numPr>
        <w:spacing w:before="120" w:after="120" w:line="288" w:lineRule="auto"/>
        <w:ind w:left="907"/>
        <w:jc w:val="left"/>
      </w:pPr>
      <w:r>
        <w:rPr>
          <w:rFonts w:eastAsia="等线" w:ascii="Arial" w:cs="Arial" w:hAnsi="Arial"/>
          <w:sz w:val="22"/>
        </w:rPr>
        <w:t>结果：这种情况下，也不会产生单独的损益，因为实物量已被调整。</w:t>
      </w:r>
    </w:p>
    <w:p>
      <w:pPr>
        <w:numPr>
          <w:numId w:val="63"/>
        </w:numPr>
        <w:spacing w:before="120" w:after="120" w:line="288" w:lineRule="auto"/>
        <w:ind w:left="0"/>
        <w:jc w:val="left"/>
      </w:pPr>
      <w:r>
        <w:rPr>
          <w:rFonts w:eastAsia="等线" w:ascii="Arial" w:cs="Arial" w:hAnsi="Arial"/>
          <w:sz w:val="22"/>
        </w:rPr>
        <w:t>情况三：质量劣于标准但客户不同意扣减（销售让步）</w:t>
      </w:r>
    </w:p>
    <w:p>
      <w:pPr>
        <w:numPr>
          <w:numId w:val="64"/>
        </w:numPr>
        <w:spacing w:before="120" w:after="120" w:line="288" w:lineRule="auto"/>
        <w:ind w:left="453"/>
        <w:jc w:val="left"/>
      </w:pPr>
      <w:r>
        <w:rPr>
          <w:rFonts w:eastAsia="等线" w:ascii="Arial" w:cs="Arial" w:hAnsi="Arial"/>
          <w:sz w:val="22"/>
        </w:rPr>
        <w:t>处理：这是记录中Eric强烈反对的“隐藏”行为。销售为了维护客户关系，同意按原数量收货，但实际生产损耗会更大。</w:t>
      </w:r>
    </w:p>
    <w:p>
      <w:pPr>
        <w:numPr>
          <w:numId w:val="65"/>
        </w:numPr>
        <w:spacing w:before="120" w:after="120" w:line="288" w:lineRule="auto"/>
        <w:ind w:left="453"/>
        <w:jc w:val="left"/>
      </w:pPr>
      <w:r>
        <w:rPr>
          <w:rFonts w:eastAsia="等线" w:ascii="Arial" w:cs="Arial" w:hAnsi="Arial"/>
          <w:sz w:val="22"/>
        </w:rPr>
        <w:t>结果：这个“损失”没有被明确记录在客户利润分析中，而是被库存吸收，最终在盘点时体现为负的库存损益。它掩盖了特定客户交易的真实盈利性。</w:t>
      </w:r>
    </w:p>
    <w:p>
      <w:pPr>
        <w:pStyle w:val="4"/>
        <w:spacing w:before="260" w:after="120" w:line="288" w:lineRule="auto"/>
        <w:ind w:left="0"/>
        <w:jc w:val="left"/>
        <w:outlineLvl w:val="3"/>
      </w:pPr>
      <w:bookmarkStart w:name="heading_22" w:id="22"/>
      <w:r>
        <w:rPr>
          <w:rFonts w:eastAsia="等线" w:ascii="Arial" w:cs="Arial" w:hAnsi="Arial"/>
          <w:color w:val="3370ff"/>
          <w:sz w:val="28"/>
        </w:rPr>
        <w:t xml:space="preserve">1.3.1.4 </w:t>
      </w:r>
      <w:r>
        <w:rPr>
          <w:rFonts w:eastAsia="等线" w:ascii="Arial" w:cs="Arial" w:hAnsi="Arial"/>
          <w:b w:val="true"/>
          <w:sz w:val="28"/>
        </w:rPr>
        <w:t>风险管理的联动：未保值头寸（Unhedged Position）</w:t>
      </w:r>
      <w:bookmarkEnd w:id="22"/>
    </w:p>
    <w:p>
      <w:pPr>
        <w:spacing w:before="120" w:after="120" w:line="288" w:lineRule="auto"/>
        <w:ind w:left="0"/>
        <w:jc w:val="left"/>
      </w:pPr>
      <w:r>
        <w:rPr>
          <w:rFonts w:eastAsia="等线" w:ascii="Arial" w:cs="Arial" w:hAnsi="Arial"/>
          <w:sz w:val="22"/>
        </w:rPr>
        <w:t>来料加工业务会产生金属头寸。公司需要对这部分头寸进行风险管理。</w:t>
      </w:r>
    </w:p>
    <w:p>
      <w:pPr>
        <w:numPr>
          <w:numId w:val="66"/>
        </w:numPr>
        <w:spacing w:before="120" w:after="120" w:line="288" w:lineRule="auto"/>
        <w:ind w:left="0"/>
        <w:jc w:val="left"/>
      </w:pPr>
      <w:r>
        <w:rPr>
          <w:rFonts w:eastAsia="等线" w:ascii="Arial" w:cs="Arial" w:hAnsi="Arial"/>
          <w:sz w:val="22"/>
        </w:rPr>
        <w:t>头寸产生：上述计算的“利润金属”（如1.74公斤铜）是公司的净多头头寸。如果当月有大量此类业务，会累积成可观的头寸。</w:t>
      </w:r>
    </w:p>
    <w:p>
      <w:pPr>
        <w:numPr>
          <w:numId w:val="67"/>
        </w:numPr>
        <w:spacing w:before="120" w:after="120" w:line="288" w:lineRule="auto"/>
        <w:ind w:left="0"/>
        <w:jc w:val="left"/>
      </w:pPr>
      <w:r>
        <w:rPr>
          <w:rFonts w:eastAsia="等线" w:ascii="Arial" w:cs="Arial" w:hAnsi="Arial"/>
          <w:sz w:val="22"/>
        </w:rPr>
        <w:t>月度保值流程：</w:t>
      </w:r>
    </w:p>
    <w:p>
      <w:pPr>
        <w:numPr>
          <w:numId w:val="68"/>
        </w:numPr>
        <w:spacing w:before="120" w:after="120" w:line="288" w:lineRule="auto"/>
        <w:ind w:left="453"/>
        <w:jc w:val="left"/>
      </w:pPr>
      <w:r>
        <w:rPr>
          <w:rFonts w:eastAsia="等线" w:ascii="Arial" w:cs="Arial" w:hAnsi="Arial"/>
          <w:sz w:val="22"/>
        </w:rPr>
        <w:t>数据汇总：每月初，在完成上月的所有业务核算后，CTRM系统会计算出上月末的未保值净头寸（包括来料加工利润、库存变动、采购销售差等）。</w:t>
      </w:r>
    </w:p>
    <w:p>
      <w:pPr>
        <w:numPr>
          <w:numId w:val="69"/>
        </w:numPr>
        <w:spacing w:before="120" w:after="120" w:line="288" w:lineRule="auto"/>
        <w:ind w:left="453"/>
        <w:jc w:val="left"/>
      </w:pPr>
      <w:r>
        <w:rPr>
          <w:rFonts w:eastAsia="等线" w:ascii="Arial" w:cs="Arial" w:hAnsi="Arial"/>
          <w:sz w:val="22"/>
        </w:rPr>
        <w:t>保值指令：风险管理人员（如记录中的Jingjing）根据这个数据，在LME市场进行卖出保值（如果是多头）或买入保值（如果是空头）。</w:t>
      </w:r>
    </w:p>
    <w:p>
      <w:pPr>
        <w:numPr>
          <w:numId w:val="70"/>
        </w:numPr>
        <w:spacing w:before="120" w:after="120" w:line="288" w:lineRule="auto"/>
        <w:ind w:left="453"/>
        <w:jc w:val="left"/>
      </w:pPr>
      <w:r>
        <w:rPr>
          <w:rFonts w:eastAsia="等线" w:ascii="Arial" w:cs="Arial" w:hAnsi="Arial"/>
          <w:sz w:val="22"/>
        </w:rPr>
        <w:t>时间点：理想情况下，应在次月第一周拿到准确数据后立即执行。记录中提到的“延迟”（12月数据到1月中才出来），正是由于新系统上线后，需要反复校验数据准确性（尤其是解释755吨铜头寸的来源），导致保值操作延迟，暴露了价格风险。</w:t>
      </w:r>
    </w:p>
    <w:p>
      <w:pPr>
        <w:spacing w:before="120" w:after="120" w:line="288" w:lineRule="auto"/>
        <w:ind w:left="0"/>
        <w:jc w:val="center"/>
      </w:pPr>
      <w:r>
        <w:drawing>
          <wp:inline distT="0" distR="0" distB="0" distL="0">
            <wp:extent cx="5257800" cy="2952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1.4 </w:t>
      </w:r>
      <w:r>
        <w:rPr>
          <w:rFonts w:eastAsia="等线" w:ascii="Arial" w:cs="Arial" w:hAnsi="Arial"/>
          <w:b w:val="true"/>
          <w:sz w:val="32"/>
        </w:rPr>
        <w:t>Closing of sales fixations 销售关单（短溢装）</w:t>
      </w:r>
      <w:bookmarkEnd w:id="23"/>
    </w:p>
    <w:p>
      <w:pPr>
        <w:spacing w:before="120" w:after="120" w:line="288" w:lineRule="auto"/>
        <w:ind w:left="0"/>
        <w:jc w:val="left"/>
      </w:pPr>
      <w:r>
        <w:rPr>
          <w:rFonts w:eastAsia="等线" w:ascii="Arial" w:cs="Arial" w:hAnsi="Arial"/>
          <w:sz w:val="22"/>
        </w:rPr>
        <w:t>关单损益是点价单关单余量与点价合同价差的结果。关单分自动和手动两种方式，自动关单在合同正常执行的磅差范围内进行，手动关单需经毛博审批。</w:t>
      </w:r>
    </w:p>
    <w:p>
      <w:pPr>
        <w:spacing w:before="120" w:after="120" w:line="288" w:lineRule="auto"/>
        <w:ind w:left="0"/>
        <w:jc w:val="left"/>
      </w:pPr>
      <w:r>
        <w:rPr>
          <w:rFonts w:eastAsia="等线" w:ascii="Arial" w:cs="Arial" w:hAnsi="Arial"/>
          <w:sz w:val="22"/>
        </w:rPr>
        <w:t>计算示例：如合同约定 100 吨，允许正负 5%的磅差，在磅差范围内的 5 吨可自动关单；若客户实际使用 50 吨，剩余 50 吨不想要，需申请手动关单。关单时，根据关单日期与点价合同的价格差乘以余量计算损益。</w:t>
      </w: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1.4.1 </w:t>
      </w:r>
      <w:r>
        <w:rPr>
          <w:rFonts w:eastAsia="等线" w:ascii="Arial" w:cs="Arial" w:hAnsi="Arial"/>
          <w:b w:val="true"/>
          <w:sz w:val="30"/>
        </w:rPr>
        <w:t>核心业务逻辑：销售关单损益的产生</w:t>
      </w:r>
      <w:bookmarkEnd w:id="24"/>
    </w:p>
    <w:p>
      <w:pPr>
        <w:spacing w:before="120" w:after="120" w:line="288" w:lineRule="auto"/>
        <w:ind w:left="0"/>
        <w:jc w:val="left"/>
      </w:pPr>
      <w:r>
        <w:rPr>
          <w:rFonts w:eastAsia="等线" w:ascii="Arial" w:cs="Arial" w:hAnsi="Arial"/>
          <w:sz w:val="22"/>
        </w:rPr>
        <w:t>销售关单损益，本质上是因合同最终执行数量与点价锁定的数量存在差异，在关闭剩余合同量时产生的价格风险损益。</w:t>
      </w:r>
    </w:p>
    <w:p>
      <w:pPr>
        <w:pStyle w:val="4"/>
        <w:spacing w:before="260" w:after="120" w:line="288" w:lineRule="auto"/>
        <w:ind w:left="0"/>
        <w:jc w:val="left"/>
        <w:outlineLvl w:val="3"/>
      </w:pPr>
      <w:bookmarkStart w:name="heading_25" w:id="25"/>
      <w:r>
        <w:rPr>
          <w:rFonts w:eastAsia="等线" w:ascii="Arial" w:cs="Arial" w:hAnsi="Arial"/>
          <w:color w:val="3370ff"/>
          <w:sz w:val="28"/>
        </w:rPr>
        <w:t xml:space="preserve">1.4.1.1 </w:t>
      </w:r>
      <w:r>
        <w:rPr>
          <w:rFonts w:eastAsia="等线" w:ascii="Arial" w:cs="Arial" w:hAnsi="Arial"/>
          <w:b w:val="true"/>
          <w:sz w:val="28"/>
        </w:rPr>
        <w:t>业务场景：为什么会产生关单？</w:t>
      </w:r>
      <w:bookmarkEnd w:id="25"/>
    </w:p>
    <w:p>
      <w:pPr>
        <w:numPr>
          <w:numId w:val="71"/>
        </w:numPr>
        <w:spacing w:before="120" w:after="120" w:line="288" w:lineRule="auto"/>
        <w:ind w:left="0"/>
        <w:jc w:val="left"/>
      </w:pPr>
      <w:r>
        <w:rPr>
          <w:rFonts w:eastAsia="等线" w:ascii="Arial" w:cs="Arial" w:hAnsi="Arial"/>
          <w:sz w:val="22"/>
        </w:rPr>
        <w:t>合同点价与执行的差异：销售合同通常包含一个预估数量（如10吨），并以此进行点价锁定价格（假设点价价格为5000欧元/吨）。但在实际执行中，客户可能只提走了部分货物（如9.98吨）。</w:t>
      </w:r>
    </w:p>
    <w:p>
      <w:pPr>
        <w:numPr>
          <w:numId w:val="72"/>
        </w:numPr>
        <w:spacing w:before="120" w:after="120" w:line="288" w:lineRule="auto"/>
        <w:ind w:left="0"/>
        <w:jc w:val="left"/>
      </w:pPr>
      <w:r>
        <w:rPr>
          <w:rFonts w:eastAsia="等线" w:ascii="Arial" w:cs="Arial" w:hAnsi="Arial"/>
          <w:sz w:val="22"/>
        </w:rPr>
        <w:t>剩余量的处理：剩余的合同量（如0.02吨），客户明确表示不再需要。此时，公司需要在系统中关闭（Closing） 这份合同的剩余部分。</w:t>
      </w:r>
    </w:p>
    <w:p>
      <w:pPr>
        <w:pStyle w:val="4"/>
        <w:spacing w:before="260" w:after="120" w:line="288" w:lineRule="auto"/>
        <w:ind w:left="0"/>
        <w:jc w:val="left"/>
        <w:outlineLvl w:val="3"/>
      </w:pPr>
      <w:bookmarkStart w:name="heading_26" w:id="26"/>
      <w:r>
        <w:rPr>
          <w:rFonts w:eastAsia="等线" w:ascii="Arial" w:cs="Arial" w:hAnsi="Arial"/>
          <w:color w:val="3370ff"/>
          <w:sz w:val="28"/>
        </w:rPr>
        <w:t xml:space="preserve">1.4.1.2 </w:t>
      </w:r>
      <w:r>
        <w:rPr>
          <w:rFonts w:eastAsia="等线" w:ascii="Arial" w:cs="Arial" w:hAnsi="Arial"/>
          <w:b w:val="true"/>
          <w:sz w:val="28"/>
        </w:rPr>
        <w:t>损益的计算逻辑</w:t>
      </w:r>
      <w:bookmarkEnd w:id="26"/>
    </w:p>
    <w:p>
      <w:pPr>
        <w:spacing w:before="120" w:after="120" w:line="288" w:lineRule="auto"/>
        <w:ind w:left="0"/>
        <w:jc w:val="left"/>
      </w:pPr>
      <w:r>
        <w:rPr>
          <w:rFonts w:eastAsia="等线" w:ascii="Arial" w:cs="Arial" w:hAnsi="Arial"/>
          <w:sz w:val="22"/>
        </w:rPr>
        <w:t>关单损益的计算公式非常直接：</w:t>
      </w:r>
    </w:p>
    <w:p>
      <w:pPr>
        <w:spacing w:before="120" w:after="120" w:line="288" w:lineRule="auto"/>
        <w:ind w:left="0"/>
        <w:jc w:val="left"/>
      </w:pPr>
      <w:r>
        <w:rPr>
          <w:rFonts w:eastAsia="等线" w:ascii="Arial" w:cs="Arial" w:hAnsi="Arial"/>
          <w:sz w:val="22"/>
        </w:rPr>
        <w:t>关单损益 = （关单时的市场价格 - 原合同点价价格） × 剩余数量</w:t>
      </w:r>
    </w:p>
    <w:p>
      <w:pPr>
        <w:numPr>
          <w:numId w:val="73"/>
        </w:numPr>
        <w:spacing w:before="120" w:after="120" w:line="288" w:lineRule="auto"/>
        <w:ind w:left="0"/>
        <w:jc w:val="left"/>
      </w:pPr>
      <w:r>
        <w:rPr>
          <w:rFonts w:eastAsia="等线" w:ascii="Arial" w:cs="Arial" w:hAnsi="Arial"/>
          <w:sz w:val="22"/>
        </w:rPr>
        <w:t>示例：</w:t>
      </w:r>
    </w:p>
    <w:p>
      <w:pPr>
        <w:numPr>
          <w:numId w:val="74"/>
        </w:numPr>
        <w:spacing w:before="120" w:after="120" w:line="288" w:lineRule="auto"/>
        <w:ind w:left="453"/>
        <w:jc w:val="left"/>
      </w:pPr>
      <w:r>
        <w:rPr>
          <w:rFonts w:eastAsia="等线" w:ascii="Arial" w:cs="Arial" w:hAnsi="Arial"/>
          <w:sz w:val="22"/>
        </w:rPr>
        <w:t>1月2日：与客户点价锁定10吨，价格5000欧元/吨。</w:t>
      </w:r>
    </w:p>
    <w:p>
      <w:pPr>
        <w:numPr>
          <w:numId w:val="75"/>
        </w:numPr>
        <w:spacing w:before="120" w:after="120" w:line="288" w:lineRule="auto"/>
        <w:ind w:left="453"/>
        <w:jc w:val="left"/>
      </w:pPr>
      <w:r>
        <w:rPr>
          <w:rFonts w:eastAsia="等线" w:ascii="Arial" w:cs="Arial" w:hAnsi="Arial"/>
          <w:sz w:val="22"/>
        </w:rPr>
        <w:t>2月28日：实际开票发货9.98吨。</w:t>
      </w:r>
    </w:p>
    <w:p>
      <w:pPr>
        <w:numPr>
          <w:numId w:val="76"/>
        </w:numPr>
        <w:spacing w:before="120" w:after="120" w:line="288" w:lineRule="auto"/>
        <w:ind w:left="453"/>
        <w:jc w:val="left"/>
      </w:pPr>
      <w:r>
        <w:rPr>
          <w:rFonts w:eastAsia="等线" w:ascii="Arial" w:cs="Arial" w:hAnsi="Arial"/>
          <w:sz w:val="22"/>
        </w:rPr>
        <w:t>3月3日：决定关闭剩余的0.02吨。此时，同类金属的市场价格（Scope Price） 已跌至4000欧元/吨。</w:t>
      </w:r>
    </w:p>
    <w:p>
      <w:pPr>
        <w:numPr>
          <w:numId w:val="77"/>
        </w:numPr>
        <w:spacing w:before="120" w:after="120" w:line="288" w:lineRule="auto"/>
        <w:ind w:left="453"/>
        <w:jc w:val="left"/>
      </w:pPr>
      <w:r>
        <w:rPr>
          <w:rFonts w:eastAsia="等线" w:ascii="Arial" w:cs="Arial" w:hAnsi="Arial"/>
          <w:sz w:val="22"/>
        </w:rPr>
        <w:t>计算：</w:t>
      </w:r>
      <w:r>
        <w:rPr>
          <w:rFonts w:eastAsia="Consolas" w:ascii="Consolas" w:cs="Consolas" w:hAnsi="Consolas"/>
          <w:sz w:val="22"/>
          <w:shd w:fill="EFF0F1"/>
        </w:rPr>
        <w:t>（4000 - 5000） × 0.02 = -20欧元</w:t>
      </w:r>
      <w:r>
        <w:rPr>
          <w:rFonts w:eastAsia="等线" w:ascii="Arial" w:cs="Arial" w:hAnsi="Arial"/>
          <w:sz w:val="22"/>
        </w:rPr>
        <w:t>。这笔关单操作产生了20欧元的亏损。</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1.4.2 </w:t>
      </w:r>
      <w:r>
        <w:rPr>
          <w:rFonts w:eastAsia="等线" w:ascii="Arial" w:cs="Arial" w:hAnsi="Arial"/>
          <w:b w:val="true"/>
          <w:sz w:val="30"/>
        </w:rPr>
        <w:t>业务管理流程：自动关单与手动关单</w:t>
      </w:r>
      <w:bookmarkEnd w:id="27"/>
    </w:p>
    <w:p>
      <w:pPr>
        <w:spacing w:before="120" w:after="120" w:line="288" w:lineRule="auto"/>
        <w:ind w:left="0"/>
        <w:jc w:val="left"/>
      </w:pPr>
      <w:r>
        <w:rPr>
          <w:rFonts w:eastAsia="等线" w:ascii="Arial" w:cs="Arial" w:hAnsi="Arial"/>
          <w:sz w:val="22"/>
        </w:rPr>
        <w:t>会议记录区分了两种关单方式，其核心差异在于审批权限和规模。</w:t>
      </w:r>
    </w:p>
    <w:p>
      <w:pPr>
        <w:pStyle w:val="4"/>
        <w:spacing w:before="260" w:after="120" w:line="288" w:lineRule="auto"/>
        <w:ind w:left="0"/>
        <w:jc w:val="left"/>
        <w:outlineLvl w:val="3"/>
      </w:pPr>
      <w:bookmarkStart w:name="heading_28" w:id="28"/>
      <w:r>
        <w:rPr>
          <w:rFonts w:eastAsia="等线" w:ascii="Arial" w:cs="Arial" w:hAnsi="Arial"/>
          <w:color w:val="3370ff"/>
          <w:sz w:val="28"/>
        </w:rPr>
        <w:t xml:space="preserve">1.4.2.1 </w:t>
      </w:r>
      <w:r>
        <w:rPr>
          <w:rFonts w:eastAsia="等线" w:ascii="Arial" w:cs="Arial" w:hAnsi="Arial"/>
          <w:b w:val="true"/>
          <w:sz w:val="28"/>
        </w:rPr>
        <w:t>自动关单</w:t>
      </w:r>
      <w:bookmarkEnd w:id="28"/>
    </w:p>
    <w:p>
      <w:pPr>
        <w:numPr>
          <w:numId w:val="78"/>
        </w:numPr>
        <w:spacing w:before="120" w:after="120" w:line="288" w:lineRule="auto"/>
        <w:ind w:left="0"/>
        <w:jc w:val="left"/>
      </w:pPr>
      <w:r>
        <w:rPr>
          <w:rFonts w:eastAsia="等线" w:ascii="Arial" w:cs="Arial" w:hAnsi="Arial"/>
          <w:sz w:val="22"/>
        </w:rPr>
        <w:t>范围：通常适用于合同约定的合理执行偏差（如正负5%、或“10%或300公斤取小”的合同短溢装条款）。这部分属于正常的业务执行尾差。</w:t>
      </w:r>
    </w:p>
    <w:p>
      <w:pPr>
        <w:numPr>
          <w:numId w:val="79"/>
        </w:numPr>
        <w:spacing w:before="120" w:after="120" w:line="288" w:lineRule="auto"/>
        <w:ind w:left="0"/>
        <w:jc w:val="left"/>
      </w:pPr>
      <w:r>
        <w:rPr>
          <w:rFonts w:eastAsia="等线" w:ascii="Arial" w:cs="Arial" w:hAnsi="Arial"/>
          <w:sz w:val="22"/>
        </w:rPr>
        <w:t>特点：无需特殊审批，系统或业务人员可直接处理。</w:t>
      </w:r>
    </w:p>
    <w:p>
      <w:pPr>
        <w:numPr>
          <w:numId w:val="80"/>
        </w:numPr>
        <w:spacing w:before="120" w:after="120" w:line="288" w:lineRule="auto"/>
        <w:ind w:left="0"/>
        <w:jc w:val="left"/>
      </w:pPr>
      <w:r>
        <w:rPr>
          <w:rFonts w:eastAsia="等线" w:ascii="Arial" w:cs="Arial" w:hAnsi="Arial"/>
          <w:sz w:val="22"/>
        </w:rPr>
        <w:t>重要澄清：记录中特别强调，这与磅差是两回事。磅差是指单次发货时，由于称重误差导致的发票量与实收量的微小差异。而这里讨论的是合同层面最终执行数量的差异。</w:t>
      </w:r>
    </w:p>
    <w:p>
      <w:pPr>
        <w:pStyle w:val="4"/>
        <w:spacing w:before="260" w:after="120" w:line="288" w:lineRule="auto"/>
        <w:ind w:left="0"/>
        <w:jc w:val="left"/>
        <w:outlineLvl w:val="3"/>
      </w:pPr>
      <w:bookmarkStart w:name="heading_29" w:id="29"/>
      <w:r>
        <w:rPr>
          <w:rFonts w:eastAsia="等线" w:ascii="Arial" w:cs="Arial" w:hAnsi="Arial"/>
          <w:color w:val="3370ff"/>
          <w:sz w:val="28"/>
        </w:rPr>
        <w:t xml:space="preserve">1.4.2.2 </w:t>
      </w:r>
      <w:r>
        <w:rPr>
          <w:rFonts w:eastAsia="等线" w:ascii="Arial" w:cs="Arial" w:hAnsi="Arial"/>
          <w:b w:val="true"/>
          <w:sz w:val="28"/>
        </w:rPr>
        <w:t>手动关单（需审批）</w:t>
      </w:r>
      <w:bookmarkEnd w:id="29"/>
    </w:p>
    <w:p>
      <w:pPr>
        <w:numPr>
          <w:numId w:val="81"/>
        </w:numPr>
        <w:spacing w:before="120" w:after="120" w:line="288" w:lineRule="auto"/>
        <w:ind w:left="0"/>
        <w:jc w:val="left"/>
      </w:pPr>
      <w:r>
        <w:rPr>
          <w:rFonts w:eastAsia="等线" w:ascii="Arial" w:cs="Arial" w:hAnsi="Arial"/>
          <w:sz w:val="22"/>
        </w:rPr>
        <w:t>范围：超出正常合同偏差范围的剩余量。例如，客户签了10吨合同，但只用了5吨，剩下的5吨明确不要了。</w:t>
      </w:r>
    </w:p>
    <w:p>
      <w:pPr>
        <w:numPr>
          <w:numId w:val="82"/>
        </w:numPr>
        <w:spacing w:before="120" w:after="120" w:line="288" w:lineRule="auto"/>
        <w:ind w:left="0"/>
        <w:jc w:val="left"/>
      </w:pPr>
      <w:r>
        <w:rPr>
          <w:rFonts w:eastAsia="等线" w:ascii="Arial" w:cs="Arial" w:hAnsi="Arial"/>
          <w:sz w:val="22"/>
        </w:rPr>
        <w:t>特点：需要管理层审批（如记录中提到的“报到毛博那一层面”）。获批后，由特定权限人员（如Eric）在系统中手工执行关单操作，销售人员无此权限。</w:t>
      </w:r>
    </w:p>
    <w:p>
      <w:pPr>
        <w:numPr>
          <w:numId w:val="83"/>
        </w:numPr>
        <w:spacing w:before="120" w:after="120" w:line="288" w:lineRule="auto"/>
        <w:ind w:left="0"/>
        <w:jc w:val="left"/>
      </w:pPr>
      <w:r>
        <w:rPr>
          <w:rFonts w:eastAsia="等线" w:ascii="Arial" w:cs="Arial" w:hAnsi="Arial"/>
          <w:sz w:val="22"/>
        </w:rPr>
        <w:t>市场考量：管理层在审批时会考虑当前市场结构。如果市场下行，客户放弃采购对公司未必是坏事（如上述亏损示例）；如果市场上行，客户放弃采购则意味着公司损失了潜在利润。</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1.4.3 </w:t>
      </w:r>
      <w:r>
        <w:rPr>
          <w:rFonts w:eastAsia="等线" w:ascii="Arial" w:cs="Arial" w:hAnsi="Arial"/>
          <w:b w:val="true"/>
          <w:sz w:val="30"/>
        </w:rPr>
        <w:t>当前痛点：数据黑洞与“Others”的形成</w:t>
      </w:r>
      <w:bookmarkEnd w:id="30"/>
    </w:p>
    <w:p>
      <w:pPr>
        <w:spacing w:before="120" w:after="120" w:line="288" w:lineRule="auto"/>
        <w:ind w:left="0"/>
        <w:jc w:val="left"/>
      </w:pPr>
      <w:r>
        <w:rPr>
          <w:rFonts w:eastAsia="等线" w:ascii="Arial" w:cs="Arial" w:hAnsi="Arial"/>
          <w:sz w:val="22"/>
        </w:rPr>
        <w:t>这是本次讨论的核心问题——业务发生了，财务入账了，但管理报表里看不见了。</w:t>
      </w:r>
    </w:p>
    <w:p>
      <w:pPr>
        <w:pStyle w:val="4"/>
        <w:spacing w:before="260" w:after="120" w:line="288" w:lineRule="auto"/>
        <w:ind w:left="0"/>
        <w:jc w:val="left"/>
        <w:outlineLvl w:val="3"/>
      </w:pPr>
      <w:bookmarkStart w:name="heading_31" w:id="31"/>
      <w:r>
        <w:rPr>
          <w:rFonts w:eastAsia="等线" w:ascii="Arial" w:cs="Arial" w:hAnsi="Arial"/>
          <w:color w:val="3370ff"/>
          <w:sz w:val="28"/>
        </w:rPr>
        <w:t xml:space="preserve">1.4.3.1 </w:t>
      </w:r>
      <w:r>
        <w:rPr>
          <w:rFonts w:eastAsia="等线" w:ascii="Arial" w:cs="Arial" w:hAnsi="Arial"/>
          <w:b w:val="true"/>
          <w:sz w:val="28"/>
        </w:rPr>
        <w:t>理想状态</w:t>
      </w:r>
      <w:bookmarkEnd w:id="31"/>
    </w:p>
    <w:p>
      <w:pPr>
        <w:spacing w:before="120" w:after="120" w:line="288" w:lineRule="auto"/>
        <w:ind w:left="0"/>
        <w:jc w:val="left"/>
      </w:pPr>
      <w:r>
        <w:rPr>
          <w:rFonts w:eastAsia="等线" w:ascii="Arial" w:cs="Arial" w:hAnsi="Arial"/>
          <w:sz w:val="22"/>
        </w:rPr>
        <w:t>在老的系统/流程中，所有关单（无论是自动还是手动）产生的损益，都会被汇总并明确列示在“销售关单”这个财务科目下，作为管理报表的第4行（Line 4），清晰地解释利润来源。</w:t>
      </w:r>
    </w:p>
    <w:p>
      <w:pPr>
        <w:pStyle w:val="4"/>
        <w:spacing w:before="260" w:after="120" w:line="288" w:lineRule="auto"/>
        <w:ind w:left="0"/>
        <w:jc w:val="left"/>
        <w:outlineLvl w:val="3"/>
      </w:pPr>
      <w:bookmarkStart w:name="heading_32" w:id="32"/>
      <w:r>
        <w:rPr>
          <w:rFonts w:eastAsia="等线" w:ascii="Arial" w:cs="Arial" w:hAnsi="Arial"/>
          <w:color w:val="3370ff"/>
          <w:sz w:val="28"/>
        </w:rPr>
        <w:t xml:space="preserve">1.4.3.2 </w:t>
      </w:r>
      <w:r>
        <w:rPr>
          <w:rFonts w:eastAsia="等线" w:ascii="Arial" w:cs="Arial" w:hAnsi="Arial"/>
          <w:b w:val="true"/>
          <w:sz w:val="28"/>
        </w:rPr>
        <w:t>现实困境（2025年现状）</w:t>
      </w:r>
      <w:bookmarkEnd w:id="32"/>
    </w:p>
    <w:p>
      <w:pPr>
        <w:numPr>
          <w:numId w:val="84"/>
        </w:numPr>
        <w:spacing w:before="120" w:after="120" w:line="288" w:lineRule="auto"/>
        <w:ind w:left="0"/>
        <w:jc w:val="left"/>
      </w:pPr>
      <w:r>
        <w:rPr>
          <w:rFonts w:eastAsia="等线" w:ascii="Arial" w:cs="Arial" w:hAnsi="Arial"/>
          <w:sz w:val="22"/>
        </w:rPr>
        <w:t>系统问题：新系统上线后，虽然关单业务仍在正常发生（系统自动关单和手工关单都在执行），但生成“销售关单损益”的报表功能无法正常工作，导致无法准确计算出这一科目的金额。</w:t>
      </w:r>
    </w:p>
    <w:p>
      <w:pPr>
        <w:numPr>
          <w:numId w:val="85"/>
        </w:numPr>
        <w:spacing w:before="120" w:after="120" w:line="288" w:lineRule="auto"/>
        <w:ind w:left="0"/>
        <w:jc w:val="left"/>
      </w:pPr>
      <w:r>
        <w:rPr>
          <w:rFonts w:eastAsia="等线" w:ascii="Arial" w:cs="Arial" w:hAnsi="Arial"/>
          <w:sz w:val="22"/>
        </w:rPr>
        <w:t>管理层的应对：由于无法信任报表数据的准确性，负责出具管理报表的人员（记录中的讲述者）决定在2025年的报表中，将“销售关单”这一行的数值填为 “0”。</w:t>
      </w:r>
    </w:p>
    <w:p>
      <w:pPr>
        <w:numPr>
          <w:numId w:val="86"/>
        </w:numPr>
        <w:spacing w:before="120" w:after="120" w:line="288" w:lineRule="auto"/>
        <w:ind w:left="0"/>
        <w:jc w:val="left"/>
      </w:pPr>
      <w:r>
        <w:rPr>
          <w:rFonts w:eastAsia="等线" w:ascii="Arial" w:cs="Arial" w:hAnsi="Arial"/>
          <w:sz w:val="22"/>
        </w:rPr>
        <w:t>后果：利润被“黑箱”化：</w:t>
      </w:r>
    </w:p>
    <w:p>
      <w:pPr>
        <w:numPr>
          <w:numId w:val="87"/>
        </w:numPr>
        <w:spacing w:before="120" w:after="120" w:line="288" w:lineRule="auto"/>
        <w:ind w:left="453"/>
        <w:jc w:val="left"/>
      </w:pPr>
      <w:r>
        <w:rPr>
          <w:rFonts w:eastAsia="等线" w:ascii="Arial" w:cs="Arial" w:hAnsi="Arial"/>
          <w:sz w:val="22"/>
        </w:rPr>
        <w:t>业务仍在发生：销售关单每天仍在产生损益（无论是盈利还是亏损）。</w:t>
      </w:r>
    </w:p>
    <w:p>
      <w:pPr>
        <w:numPr>
          <w:numId w:val="88"/>
        </w:numPr>
        <w:spacing w:before="120" w:after="120" w:line="288" w:lineRule="auto"/>
        <w:ind w:left="453"/>
        <w:jc w:val="left"/>
      </w:pPr>
      <w:r>
        <w:rPr>
          <w:rFonts w:eastAsia="等线" w:ascii="Arial" w:cs="Arial" w:hAnsi="Arial"/>
          <w:sz w:val="22"/>
        </w:rPr>
        <w:t>财务已经入账：这些损益其实已经体现在了公司的总账（P&amp;L）中。当风险管理人员（如Jingjing）进行保值操作时，他们需要处理关单产生的剩余头寸（例如，关掉0.02吨的销售合同，意味着需要在LME买入0.02吨来平仓），这些操作最终都会进入财务结果。</w:t>
      </w:r>
    </w:p>
    <w:p>
      <w:pPr>
        <w:numPr>
          <w:numId w:val="89"/>
        </w:numPr>
        <w:spacing w:before="120" w:after="120" w:line="288" w:lineRule="auto"/>
        <w:ind w:left="453"/>
        <w:jc w:val="left"/>
      </w:pPr>
      <w:r>
        <w:rPr>
          <w:rFonts w:eastAsia="等线" w:ascii="Arial" w:cs="Arial" w:hAnsi="Arial"/>
          <w:sz w:val="22"/>
        </w:rPr>
        <w:t>报表无法体现：但在管理报表中，由于“销售关单”行是0，这部分损益无法被单独剥离出来。</w:t>
      </w:r>
    </w:p>
    <w:p>
      <w:pPr>
        <w:numPr>
          <w:numId w:val="90"/>
        </w:numPr>
        <w:spacing w:before="120" w:after="120" w:line="288" w:lineRule="auto"/>
        <w:ind w:left="453"/>
        <w:jc w:val="left"/>
      </w:pPr>
      <w:r>
        <w:rPr>
          <w:rFonts w:eastAsia="等线" w:ascii="Arial" w:cs="Arial" w:hAnsi="Arial"/>
          <w:sz w:val="22"/>
        </w:rPr>
        <w:t>最终归宿——Others：当报表计算总金属损益时，用总收入减去所有能明确归类的项（如定价利润、折扣、来料加工利润等），剩下的差额就全部被扔进了 “Others”（其他项） 这个大杂烩科目中。所有无法解释、无法拆分的损益，最终都流入了Others。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1.4.4 </w:t>
      </w:r>
      <w:r>
        <w:rPr>
          <w:rFonts w:eastAsia="等线" w:ascii="Arial" w:cs="Arial" w:hAnsi="Arial"/>
          <w:b w:val="true"/>
          <w:sz w:val="30"/>
        </w:rPr>
        <w:t>对CTRM系统与业务管理的启示</w:t>
      </w:r>
      <w:bookmarkEnd w:id="33"/>
    </w:p>
    <w:p>
      <w:pPr>
        <w:numPr>
          <w:numId w:val="91"/>
        </w:numPr>
        <w:spacing w:before="120" w:after="120" w:line="288" w:lineRule="auto"/>
        <w:ind w:left="0"/>
        <w:jc w:val="left"/>
      </w:pPr>
      <w:r>
        <w:rPr>
          <w:rFonts w:eastAsia="等线" w:ascii="Arial" w:cs="Arial" w:hAnsi="Arial"/>
          <w:sz w:val="22"/>
        </w:rPr>
        <w:t>关单损益不是小数目：虽然单笔关单可能金额不大，但全年累计起来，尤其是当市场价格剧烈波动时，可能是一笔相当可观的损益。将其隐藏在Others中，会掩盖业务执行的真实效率和对客让利情况。</w:t>
      </w:r>
    </w:p>
    <w:p>
      <w:pPr>
        <w:numPr>
          <w:numId w:val="92"/>
        </w:numPr>
        <w:spacing w:before="120" w:after="120" w:line="288" w:lineRule="auto"/>
        <w:ind w:left="0"/>
        <w:jc w:val="left"/>
      </w:pPr>
      <w:r>
        <w:rPr>
          <w:rFonts w:eastAsia="等线" w:ascii="Arial" w:cs="Arial" w:hAnsi="Arial"/>
          <w:sz w:val="22"/>
        </w:rPr>
        <w:t>数据颗粒度的重要性：一个好的CTRM系统应该能够按每一个点价单（Fixation），追溯其点价日期、点价价格、关单日期、关单价格，自动计算并汇总关单损益，并提供明细报告。</w:t>
      </w:r>
    </w:p>
    <w:p>
      <w:pPr>
        <w:numPr>
          <w:numId w:val="93"/>
        </w:numPr>
        <w:spacing w:before="120" w:after="120" w:line="288" w:lineRule="auto"/>
        <w:ind w:left="0"/>
        <w:jc w:val="left"/>
      </w:pPr>
      <w:r>
        <w:rPr>
          <w:rFonts w:eastAsia="等线" w:ascii="Arial" w:cs="Arial" w:hAnsi="Arial"/>
          <w:sz w:val="22"/>
        </w:rPr>
        <w:t>风险管理的视角：关单直接产生头寸变化。上述示例中，关掉0.02吨的销售合同，意味着公司的净空头头寸减少了0.02吨。风险管理需要准确知道这一变化，才能进行正确的保值对冲。如果关单损益被隐藏，风险头寸的变化也可能被忽视。</w:t>
      </w:r>
    </w:p>
    <w:p>
      <w:pPr>
        <w:numPr>
          <w:numId w:val="94"/>
        </w:numPr>
        <w:spacing w:before="120" w:after="120" w:line="288" w:lineRule="auto"/>
        <w:ind w:left="0"/>
        <w:jc w:val="left"/>
      </w:pPr>
      <w:r>
        <w:rPr>
          <w:rFonts w:eastAsia="等线" w:ascii="Arial" w:cs="Arial" w:hAnsi="Arial"/>
          <w:sz w:val="22"/>
        </w:rPr>
        <w:t>“Others”是管理失职的遮羞布：一个理想的利润分析报表，应该将利润构成拆解得越来越细，而不是把所有解释不清的东西都扔进Others。销售关单作为一个可定义、可计算、可追溯的损益项，完全有理由从Others中独立出来。</w:t>
      </w:r>
    </w:p>
    <w:p>
      <w:pPr>
        <w:spacing w:before="120" w:after="120" w:line="288" w:lineRule="auto"/>
        <w:ind w:left="0"/>
        <w:jc w:val="left"/>
      </w:pPr>
      <w:r>
        <w:rPr>
          <w:rFonts w:eastAsia="等线" w:ascii="Arial" w:cs="Arial" w:hAnsi="Arial"/>
          <w:sz w:val="22"/>
        </w:rPr>
        <w:t>总结：销售关单（短溢装）损益，是连接销售执行、合同管理、风险对冲和财务核算的一个关键节点。它目前因系统问题被归入“Others”，意味着管理层失去了对这一部分利润来源/损失的洞察力。修复这一数据链路，让“第4行”重新变得可信，是提升管理报表透明度的关键一步。</w:t>
      </w:r>
    </w:p>
    <w:p>
      <w:pPr>
        <w:spacing w:before="120" w:after="120" w:line="288" w:lineRule="auto"/>
        <w:ind w:left="0"/>
        <w:jc w:val="center"/>
      </w:pPr>
      <w:r>
        <w:drawing>
          <wp:inline distT="0" distR="0" distB="0" distL="0">
            <wp:extent cx="5257800" cy="2952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952750"/>
                    </a:xfrm>
                    <a:prstGeom prst="rect">
                      <a:avLst/>
                    </a:prstGeom>
                  </pic:spPr>
                </pic:pic>
              </a:graphicData>
            </a:graphic>
          </wp:inline>
        </w:drawing>
      </w:r>
    </w:p>
    <w:p>
      <w:pPr>
        <w:pStyle w:val="1"/>
        <w:spacing w:before="380" w:after="140" w:line="288" w:lineRule="auto"/>
        <w:ind w:left="0"/>
        <w:jc w:val="left"/>
        <w:outlineLvl w:val="0"/>
      </w:pPr>
      <w:bookmarkStart w:name="heading_34" w:id="34"/>
      <w:r>
        <w:rPr>
          <w:rFonts w:eastAsia="等线" w:ascii="Arial" w:cs="Arial" w:hAnsi="Arial"/>
          <w:color w:val="3370ff"/>
          <w:sz w:val="36"/>
        </w:rPr>
        <w:t xml:space="preserve">2. </w:t>
      </w:r>
      <w:r>
        <w:rPr>
          <w:rFonts w:eastAsia="等线" w:ascii="Arial" w:cs="Arial" w:hAnsi="Arial"/>
          <w:b w:val="true"/>
          <w:sz w:val="36"/>
        </w:rPr>
        <w:t>采购</w:t>
      </w:r>
      <w:bookmarkEnd w:id="34"/>
    </w:p>
    <w:p>
      <w:pPr>
        <w:pStyle w:val="2"/>
        <w:spacing w:before="320" w:after="120" w:line="288" w:lineRule="auto"/>
        <w:ind w:left="0"/>
        <w:jc w:val="left"/>
        <w:outlineLvl w:val="1"/>
      </w:pPr>
      <w:bookmarkStart w:name="heading_35" w:id="35"/>
      <w:r>
        <w:rPr>
          <w:rFonts w:eastAsia="等线" w:ascii="Arial" w:cs="Arial" w:hAnsi="Arial"/>
          <w:color w:val="3370ff"/>
          <w:sz w:val="32"/>
        </w:rPr>
        <w:t xml:space="preserve">2.1 </w:t>
      </w:r>
      <w:r>
        <w:rPr>
          <w:rFonts w:eastAsia="等线" w:ascii="Arial" w:cs="Arial" w:hAnsi="Arial"/>
          <w:b w:val="true"/>
          <w:sz w:val="32"/>
        </w:rPr>
        <w:t>Closing of purhcase  fixations  采购关单</w:t>
      </w:r>
      <w:bookmarkEnd w:id="35"/>
    </w:p>
    <w:p>
      <w:pPr>
        <w:spacing w:before="120" w:after="120" w:line="288" w:lineRule="auto"/>
        <w:ind w:left="0"/>
        <w:jc w:val="left"/>
      </w:pPr>
      <w:r>
        <w:rPr>
          <w:rFonts w:eastAsia="等线" w:ascii="Arial" w:cs="Arial" w:hAnsi="Arial"/>
          <w:sz w:val="22"/>
        </w:rPr>
        <w:t>采购端差异：采购端合同点价执行的差异也在其他项，如与供应商之间的点价关单执行差异。不过采购端此类情况发生频率低且数值小，老系统可拆分但未单独列项，新系统统一放在其他项。</w:t>
      </w:r>
    </w:p>
    <w:p>
      <w:pPr>
        <w:numPr>
          <w:numId w:val="95"/>
        </w:numPr>
        <w:spacing w:before="120" w:after="120" w:line="288" w:lineRule="auto"/>
        <w:ind w:left="0"/>
        <w:jc w:val="left"/>
      </w:pPr>
      <w:r>
        <w:rPr>
          <w:rFonts w:eastAsia="等线" w:ascii="Arial" w:cs="Arial" w:hAnsi="Arial"/>
          <w:sz w:val="22"/>
        </w:rPr>
        <w:t>定义：采购合同点价后，因实际执行数量与点价数量存在差异，对剩余未执行部分进行关闭操作时产生的损益。</w:t>
      </w:r>
    </w:p>
    <w:p>
      <w:pPr>
        <w:numPr>
          <w:numId w:val="96"/>
        </w:numPr>
        <w:spacing w:before="120" w:after="120" w:line="288" w:lineRule="auto"/>
        <w:ind w:left="0"/>
        <w:jc w:val="left"/>
      </w:pPr>
      <w:r>
        <w:rPr>
          <w:rFonts w:eastAsia="等线" w:ascii="Arial" w:cs="Arial" w:hAnsi="Arial"/>
          <w:sz w:val="22"/>
        </w:rPr>
        <w:t>产生原因：采购合同通常约定数量，但实际到货可能少于或多于点价量（如磅差、合同短溢装）。剩余量若不再执行，需关闭点价单，此时若关单时的市场价格与原始点价价格不同，即产生损益。</w:t>
      </w:r>
    </w:p>
    <w:p>
      <w:pPr>
        <w:numPr>
          <w:numId w:val="97"/>
        </w:numPr>
        <w:spacing w:before="120" w:after="120" w:line="288" w:lineRule="auto"/>
        <w:ind w:left="0"/>
        <w:jc w:val="left"/>
      </w:pPr>
      <w:r>
        <w:rPr>
          <w:rFonts w:eastAsia="等线" w:ascii="Arial" w:cs="Arial" w:hAnsi="Arial"/>
          <w:sz w:val="22"/>
        </w:rPr>
        <w:t>计算逻辑：</w:t>
      </w:r>
      <w:r>
        <w:rPr>
          <w:rFonts w:eastAsia="Consolas" w:ascii="Consolas" w:cs="Consolas" w:hAnsi="Consolas"/>
          <w:sz w:val="22"/>
          <w:shd w:fill="EFF0F1"/>
        </w:rPr>
        <w:t>损益 = (关单时市场价 - 原合同点价价) × 剩余数量</w:t>
      </w:r>
      <w:r>
        <w:rPr>
          <w:rFonts w:eastAsia="等线" w:ascii="Arial" w:cs="Arial" w:hAnsi="Arial"/>
          <w:sz w:val="22"/>
        </w:rPr>
        <w:t>。若关单时市场价高于原价，则盈利；反之亏损。</w:t>
      </w:r>
    </w:p>
    <w:p>
      <w:pPr>
        <w:numPr>
          <w:numId w:val="98"/>
        </w:numPr>
        <w:spacing w:before="120" w:after="120" w:line="288" w:lineRule="auto"/>
        <w:ind w:left="0"/>
        <w:jc w:val="left"/>
      </w:pPr>
      <w:r>
        <w:rPr>
          <w:rFonts w:eastAsia="等线" w:ascii="Arial" w:cs="Arial" w:hAnsi="Arial"/>
          <w:sz w:val="22"/>
        </w:rPr>
        <w:t>数据来源：采购点价单、实际收货记录、关单日期及对应市场价格。在老系统中可追溯，新系统暂无此报表。</w:t>
      </w:r>
    </w:p>
    <w:p>
      <w:pPr>
        <w:numPr>
          <w:numId w:val="99"/>
        </w:numPr>
        <w:spacing w:before="120" w:after="120" w:line="288" w:lineRule="auto"/>
        <w:ind w:left="0"/>
        <w:jc w:val="left"/>
      </w:pPr>
      <w:r>
        <w:rPr>
          <w:rFonts w:eastAsia="等线" w:ascii="Arial" w:cs="Arial" w:hAnsi="Arial"/>
          <w:sz w:val="22"/>
        </w:rPr>
        <w:t>当前状态：由于新系统上线后相关报表缺失，采购关单损益无法单独提取，目前混入“others”中。因其发生频率低、金额小，未单独列示。</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6" w:id="36"/>
      <w:r>
        <w:rPr>
          <w:rFonts w:eastAsia="等线" w:ascii="Arial" w:cs="Arial" w:hAnsi="Arial"/>
          <w:color w:val="3370ff"/>
          <w:sz w:val="32"/>
        </w:rPr>
        <w:t xml:space="preserve">2.2 </w:t>
      </w:r>
      <w:r>
        <w:rPr>
          <w:rFonts w:eastAsia="等线" w:ascii="Arial" w:cs="Arial" w:hAnsi="Arial"/>
          <w:b w:val="true"/>
          <w:sz w:val="32"/>
        </w:rPr>
        <w:t>采购实际实现的精废差价与预期（catelino）对比</w:t>
      </w:r>
      <w:bookmarkEnd w:id="36"/>
    </w:p>
    <w:p>
      <w:pPr>
        <w:spacing w:before="120" w:after="120" w:line="288" w:lineRule="auto"/>
        <w:ind w:left="0"/>
        <w:jc w:val="left"/>
      </w:pPr>
      <w:r>
        <w:rPr>
          <w:rFonts w:eastAsia="等线" w:ascii="Arial" w:cs="Arial" w:hAnsi="Arial"/>
          <w:sz w:val="22"/>
        </w:rPr>
        <w:t>折扣差异：销售端接单时，因无法确定未来采购价格而进行预估，预估采购价格与实际采购价格的差异。</w:t>
      </w:r>
    </w:p>
    <w:p>
      <w:pPr>
        <w:numPr>
          <w:numId w:val="100"/>
        </w:numPr>
        <w:spacing w:before="120" w:after="120" w:line="288" w:lineRule="auto"/>
        <w:ind w:left="0"/>
        <w:jc w:val="left"/>
      </w:pPr>
      <w:r>
        <w:rPr>
          <w:rFonts w:eastAsia="等线" w:ascii="Arial" w:cs="Arial" w:hAnsi="Arial"/>
          <w:sz w:val="22"/>
        </w:rPr>
        <w:t>定义：每日计算Catelino（合金销售基价）时，采购部门基于市场询价预估的折扣（如LME-500）与实际采购时最终实现的折扣之间的差异。</w:t>
      </w:r>
    </w:p>
    <w:p>
      <w:pPr>
        <w:numPr>
          <w:numId w:val="101"/>
        </w:numPr>
        <w:spacing w:before="120" w:after="120" w:line="288" w:lineRule="auto"/>
        <w:ind w:left="0"/>
        <w:jc w:val="left"/>
      </w:pPr>
      <w:r>
        <w:rPr>
          <w:rFonts w:eastAsia="等线" w:ascii="Arial" w:cs="Arial" w:hAnsi="Arial"/>
          <w:sz w:val="22"/>
        </w:rPr>
        <w:t>产生原因：采购部门每天根据市场行情和供应商报价预估一个折扣用于定价（如-500），但未来实际采购时，市场可能变化或采购批量不同，导致实际折扣偏离预期。这部分差异即为采购端的“预期vs实际”损益。</w:t>
      </w:r>
    </w:p>
    <w:p>
      <w:pPr>
        <w:numPr>
          <w:numId w:val="102"/>
        </w:numPr>
        <w:spacing w:before="120" w:after="120" w:line="288" w:lineRule="auto"/>
        <w:ind w:left="0"/>
        <w:jc w:val="left"/>
      </w:pPr>
      <w:r>
        <w:rPr>
          <w:rFonts w:eastAsia="等线" w:ascii="Arial" w:cs="Arial" w:hAnsi="Arial"/>
          <w:sz w:val="22"/>
        </w:rPr>
        <w:t>计算逻辑：</w:t>
      </w:r>
      <w:r>
        <w:rPr>
          <w:rFonts w:eastAsia="Consolas" w:ascii="Consolas" w:cs="Consolas" w:hAnsi="Consolas"/>
          <w:sz w:val="22"/>
          <w:shd w:fill="EFF0F1"/>
        </w:rPr>
        <w:t>损益 = (实际采购折扣 - 预期折扣) × 实际采购量</w:t>
      </w:r>
      <w:r>
        <w:rPr>
          <w:rFonts w:eastAsia="等线" w:ascii="Arial" w:cs="Arial" w:hAnsi="Arial"/>
          <w:sz w:val="22"/>
        </w:rPr>
        <w:t>。若实际折扣优于预期（如-600优于-500），则盈利；反之亏损。</w:t>
      </w:r>
    </w:p>
    <w:p>
      <w:pPr>
        <w:numPr>
          <w:numId w:val="103"/>
        </w:numPr>
        <w:spacing w:before="120" w:after="120" w:line="288" w:lineRule="auto"/>
        <w:ind w:left="0"/>
        <w:jc w:val="left"/>
      </w:pPr>
      <w:r>
        <w:rPr>
          <w:rFonts w:eastAsia="等线" w:ascii="Arial" w:cs="Arial" w:hAnsi="Arial"/>
          <w:sz w:val="22"/>
        </w:rPr>
        <w:t>数据来源：每日Catelino中的折扣值、实际采购订单的折扣、采购量。数据需从采购合同和系统中提取。</w:t>
      </w:r>
    </w:p>
    <w:p>
      <w:pPr>
        <w:numPr>
          <w:numId w:val="104"/>
        </w:numPr>
        <w:spacing w:before="120" w:after="120" w:line="288" w:lineRule="auto"/>
        <w:ind w:left="0"/>
        <w:jc w:val="left"/>
      </w:pPr>
      <w:r>
        <w:rPr>
          <w:rFonts w:eastAsia="等线" w:ascii="Arial" w:cs="Arial" w:hAnsi="Arial"/>
          <w:sz w:val="22"/>
        </w:rPr>
        <w:t>当前状态：此差异属于“others”的一部分，且分为两种情形：①时间差（因市场变化，如几个月后采购时折扣不同）；②同日差（因采购批量小，能拿到更好折扣）。两者均归入others，但若金额大可在备注中说明。</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37" w:id="37"/>
      <w:r>
        <w:rPr>
          <w:rFonts w:eastAsia="等线" w:ascii="Arial" w:cs="Arial" w:hAnsi="Arial"/>
          <w:color w:val="3370ff"/>
          <w:sz w:val="36"/>
        </w:rPr>
        <w:t xml:space="preserve">3. </w:t>
      </w:r>
      <w:r>
        <w:rPr>
          <w:rFonts w:eastAsia="等线" w:ascii="Arial" w:cs="Arial" w:hAnsi="Arial"/>
          <w:b w:val="true"/>
          <w:sz w:val="36"/>
        </w:rPr>
        <w:t>生产</w:t>
      </w:r>
      <w:bookmarkEnd w:id="37"/>
    </w:p>
    <w:p>
      <w:pPr>
        <w:pStyle w:val="2"/>
        <w:spacing w:before="320" w:after="120" w:line="288" w:lineRule="auto"/>
        <w:ind w:left="0"/>
        <w:jc w:val="left"/>
        <w:outlineLvl w:val="1"/>
      </w:pPr>
      <w:bookmarkStart w:name="heading_38" w:id="38"/>
      <w:r>
        <w:rPr>
          <w:rFonts w:eastAsia="等线" w:ascii="Arial" w:cs="Arial" w:hAnsi="Arial"/>
          <w:color w:val="3370ff"/>
          <w:sz w:val="32"/>
        </w:rPr>
        <w:t xml:space="preserve">3.1 </w:t>
      </w:r>
      <w:r>
        <w:rPr>
          <w:rFonts w:eastAsia="等线" w:ascii="Arial" w:cs="Arial" w:hAnsi="Arial"/>
          <w:b w:val="true"/>
          <w:sz w:val="32"/>
        </w:rPr>
        <w:t>配方优化（实际投料）与标准配方之间的差异产生的利润</w:t>
      </w:r>
      <w:bookmarkEnd w:id="38"/>
    </w:p>
    <w:p>
      <w:pPr>
        <w:spacing w:before="120" w:after="120" w:line="288" w:lineRule="auto"/>
        <w:ind w:left="0"/>
        <w:jc w:val="left"/>
      </w:pPr>
      <w:r>
        <w:rPr>
          <w:rFonts w:eastAsia="等线" w:ascii="Arial" w:cs="Arial" w:hAnsi="Arial"/>
          <w:sz w:val="22"/>
        </w:rPr>
        <w:t>标准配方差异：公司规定的不同牌号标准料配方与实际使用配方存在差异，这种差异产生的损益落在其他项，差异越大，其他项金额越大，可能为正也可能为负。</w:t>
      </w:r>
    </w:p>
    <w:p>
      <w:pPr>
        <w:numPr>
          <w:numId w:val="105"/>
        </w:numPr>
        <w:spacing w:before="120" w:after="120" w:line="288" w:lineRule="auto"/>
        <w:ind w:left="0"/>
        <w:jc w:val="left"/>
      </w:pPr>
      <w:r>
        <w:rPr>
          <w:rFonts w:eastAsia="等线" w:ascii="Arial" w:cs="Arial" w:hAnsi="Arial"/>
          <w:sz w:val="22"/>
        </w:rPr>
        <w:t>定义：生产合金时，实际使用的原材料组合与公司规定的标准配方之间的成本差异。</w:t>
      </w:r>
    </w:p>
    <w:p>
      <w:pPr>
        <w:numPr>
          <w:numId w:val="106"/>
        </w:numPr>
        <w:spacing w:before="120" w:after="120" w:line="288" w:lineRule="auto"/>
        <w:ind w:left="0"/>
        <w:jc w:val="left"/>
      </w:pPr>
      <w:r>
        <w:rPr>
          <w:rFonts w:eastAsia="等线" w:ascii="Arial" w:cs="Arial" w:hAnsi="Arial"/>
          <w:sz w:val="22"/>
        </w:rPr>
        <w:t>产生原因：标准配方是多年不变的基准（如C32合金需10公斤铜废料、20公斤锌锭等），但实际生产中，工厂可能根据原料性价比选择不同废料（如用更便宜的紫铜替代黄铜），导致实际成本与标准成本有偏差。这种偏差直接影响金属损益。</w:t>
      </w:r>
    </w:p>
    <w:p>
      <w:pPr>
        <w:numPr>
          <w:numId w:val="107"/>
        </w:numPr>
        <w:spacing w:before="120" w:after="120" w:line="288" w:lineRule="auto"/>
        <w:ind w:left="0"/>
        <w:jc w:val="left"/>
      </w:pPr>
      <w:r>
        <w:rPr>
          <w:rFonts w:eastAsia="等线" w:ascii="Arial" w:cs="Arial" w:hAnsi="Arial"/>
          <w:sz w:val="22"/>
        </w:rPr>
        <w:t>计算逻辑：</w:t>
      </w:r>
      <w:r>
        <w:rPr>
          <w:rFonts w:eastAsia="Consolas" w:ascii="Consolas" w:cs="Consolas" w:hAnsi="Consolas"/>
          <w:sz w:val="22"/>
          <w:shd w:fill="EFF0F1"/>
        </w:rPr>
        <w:t>损益 = Σ(实际用量 × 实际采购价) - Σ(标准用量 × 标准配方价)</w:t>
      </w:r>
      <w:r>
        <w:rPr>
          <w:rFonts w:eastAsia="等线" w:ascii="Arial" w:cs="Arial" w:hAnsi="Arial"/>
          <w:sz w:val="22"/>
        </w:rPr>
        <w:t>。正值为成本节约（利润），负值为成本超支。</w:t>
      </w:r>
    </w:p>
    <w:p>
      <w:pPr>
        <w:numPr>
          <w:numId w:val="108"/>
        </w:numPr>
        <w:spacing w:before="120" w:after="120" w:line="288" w:lineRule="auto"/>
        <w:ind w:left="0"/>
        <w:jc w:val="left"/>
      </w:pPr>
      <w:r>
        <w:rPr>
          <w:rFonts w:eastAsia="等线" w:ascii="Arial" w:cs="Arial" w:hAnsi="Arial"/>
          <w:sz w:val="22"/>
        </w:rPr>
        <w:t>数据来源：生产投料记录（需细化到每炉每合金的原料消耗），目前新系统无此数据，但SAP中可能存在（需通过工单追溯）。老系统中工厂每月手工填报消耗数据。</w:t>
      </w:r>
    </w:p>
    <w:p>
      <w:pPr>
        <w:numPr>
          <w:numId w:val="109"/>
        </w:numPr>
        <w:spacing w:before="120" w:after="120" w:line="288" w:lineRule="auto"/>
        <w:ind w:left="0"/>
        <w:jc w:val="left"/>
      </w:pPr>
      <w:r>
        <w:rPr>
          <w:rFonts w:eastAsia="等线" w:ascii="Arial" w:cs="Arial" w:hAnsi="Arial"/>
          <w:sz w:val="22"/>
        </w:rPr>
        <w:t>当前状态：由于新系统未实现投料数据的精细化采集，此差异无法计算，全部计入“others”。这是目前金属损益分析中最大的黑箱之一，急需恢复数据链路。</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9" w:id="39"/>
      <w:r>
        <w:rPr>
          <w:rFonts w:eastAsia="等线" w:ascii="Arial" w:cs="Arial" w:hAnsi="Arial"/>
          <w:color w:val="3370ff"/>
          <w:sz w:val="32"/>
        </w:rPr>
        <w:t xml:space="preserve">3.2 </w:t>
      </w:r>
      <w:r>
        <w:rPr>
          <w:rFonts w:eastAsia="等线" w:ascii="Arial" w:cs="Arial" w:hAnsi="Arial"/>
          <w:b w:val="true"/>
          <w:sz w:val="32"/>
        </w:rPr>
        <w:t>Inventory result 存货盘点结果（包含熔炼实际损耗与标准损耗差异）</w:t>
      </w:r>
      <w:bookmarkEnd w:id="39"/>
    </w:p>
    <w:p>
      <w:pPr>
        <w:spacing w:before="120" w:after="120" w:line="288" w:lineRule="auto"/>
        <w:ind w:left="0"/>
        <w:jc w:val="left"/>
      </w:pPr>
      <w:r>
        <w:rPr>
          <w:rFonts w:eastAsia="等线" w:ascii="Arial" w:cs="Arial" w:hAnsi="Arial"/>
          <w:sz w:val="22"/>
        </w:rPr>
        <w:t>暂估依据与计算：库存结果的第一部分是每月库存暂估，根据往年熔炼损耗数据预估。例如，以柏林为例，若去年盘库盘盈较多，为降低风险，在做下一年预算时会适当调整暂估数量。</w:t>
      </w:r>
    </w:p>
    <w:p>
      <w:pPr>
        <w:spacing w:before="120" w:after="120" w:line="288" w:lineRule="auto"/>
        <w:ind w:left="0"/>
        <w:jc w:val="left"/>
      </w:pPr>
      <w:r>
        <w:rPr>
          <w:rFonts w:eastAsia="等线" w:ascii="Arial" w:cs="Arial" w:hAnsi="Arial"/>
          <w:sz w:val="22"/>
        </w:rPr>
        <w:t>价格确定与保值处理：暂估价格取当月最后一天 LME 现金价格，由 Eric 提供数据给津津，津津按此数量进行保值处理。由于数据获取时间可能延迟，实际保值价格与暂估价格可能存在差异。</w:t>
      </w:r>
    </w:p>
    <w:p>
      <w:pPr>
        <w:spacing w:before="120" w:after="120" w:line="288" w:lineRule="auto"/>
        <w:ind w:left="0"/>
        <w:jc w:val="left"/>
      </w:pPr>
      <w:r>
        <w:rPr>
          <w:rFonts w:eastAsia="等线" w:ascii="Arial" w:cs="Arial" w:hAnsi="Arial"/>
          <w:sz w:val="22"/>
        </w:rPr>
        <w:t>关注点，Eric提供的库存盘点敞口数据可能延迟，这个目前实际业务敞口数据无法获取还是仅是统计需要时间导致延迟；客观上1.盘盈盘亏周期长，半年/1年，可改否改为1月/3月一次，降低偏差；2.门登销售按长度非重量的实际情况，门登的销售统计转换为重量的表格逻辑是否嵌入系统处理。</w:t>
      </w:r>
    </w:p>
    <w:p>
      <w:pPr>
        <w:spacing w:before="120" w:after="120" w:line="288" w:lineRule="auto"/>
        <w:ind w:left="0"/>
        <w:jc w:val="left"/>
      </w:pPr>
      <w:r>
        <w:rPr>
          <w:rFonts w:eastAsia="等线" w:ascii="Arial" w:cs="Arial" w:hAnsi="Arial"/>
          <w:sz w:val="22"/>
        </w:rPr>
        <w:t>处理：敞口数据需要系统实时计算和汇总，并由Eric或其他关键风控管理人员复核后，通知套保执行。</w:t>
      </w:r>
    </w:p>
    <w:p>
      <w:pPr>
        <w:numPr>
          <w:numId w:val="110"/>
        </w:numPr>
        <w:spacing w:before="120" w:after="120" w:line="288" w:lineRule="auto"/>
        <w:ind w:left="0"/>
        <w:jc w:val="left"/>
      </w:pPr>
      <w:r>
        <w:rPr>
          <w:rFonts w:eastAsia="等线" w:ascii="Arial" w:cs="Arial" w:hAnsi="Arial"/>
          <w:sz w:val="22"/>
        </w:rPr>
        <w:t>定义：存货盘点产生的盈亏，包括实物库存与账面库存的差异，以及熔炼实际损耗与标准损耗的差异。报表中分为两部分：月度暂估和半年度实际盘点。</w:t>
      </w:r>
    </w:p>
    <w:p>
      <w:pPr>
        <w:numPr>
          <w:numId w:val="111"/>
        </w:numPr>
        <w:spacing w:before="120" w:after="120" w:line="288" w:lineRule="auto"/>
        <w:ind w:left="0"/>
        <w:jc w:val="left"/>
      </w:pPr>
      <w:r>
        <w:rPr>
          <w:rFonts w:eastAsia="等线" w:ascii="Arial" w:cs="Arial" w:hAnsi="Arial"/>
          <w:sz w:val="22"/>
        </w:rPr>
        <w:t>产生原因：</w:t>
      </w:r>
    </w:p>
    <w:p>
      <w:pPr>
        <w:numPr>
          <w:numId w:val="112"/>
        </w:numPr>
        <w:spacing w:before="120" w:after="120" w:line="288" w:lineRule="auto"/>
        <w:ind w:left="453"/>
        <w:jc w:val="left"/>
      </w:pPr>
      <w:r>
        <w:rPr>
          <w:rFonts w:eastAsia="等线" w:ascii="Arial" w:cs="Arial" w:hAnsi="Arial"/>
          <w:sz w:val="22"/>
        </w:rPr>
        <w:t>月度暂估：因一年仅盘点两次，为平滑风险，每月基于历史数据预估盘盈亏，并让风控部门对冲。</w:t>
      </w:r>
    </w:p>
    <w:p>
      <w:pPr>
        <w:numPr>
          <w:numId w:val="113"/>
        </w:numPr>
        <w:spacing w:before="120" w:after="120" w:line="288" w:lineRule="auto"/>
        <w:ind w:left="453"/>
        <w:jc w:val="left"/>
      </w:pPr>
      <w:r>
        <w:rPr>
          <w:rFonts w:eastAsia="等线" w:ascii="Arial" w:cs="Arial" w:hAnsi="Arial"/>
          <w:sz w:val="22"/>
        </w:rPr>
        <w:t>实际盘点：半年一次实物清点，将实际库存与系统预期库存（已包含月度暂估）对比，差异即为实际盘盈亏。此差异可能由熔炼损耗波动、操作失误（如被盗、录入错误）等导致。</w:t>
      </w:r>
    </w:p>
    <w:p>
      <w:pPr>
        <w:numPr>
          <w:numId w:val="114"/>
        </w:numPr>
        <w:spacing w:before="120" w:after="120" w:line="288" w:lineRule="auto"/>
        <w:ind w:left="0"/>
        <w:jc w:val="left"/>
      </w:pPr>
      <w:r>
        <w:rPr>
          <w:rFonts w:eastAsia="等线" w:ascii="Arial" w:cs="Arial" w:hAnsi="Arial"/>
          <w:sz w:val="22"/>
        </w:rPr>
        <w:t>计算逻辑：</w:t>
      </w:r>
    </w:p>
    <w:p>
      <w:pPr>
        <w:numPr>
          <w:numId w:val="115"/>
        </w:numPr>
        <w:spacing w:before="120" w:after="120" w:line="288" w:lineRule="auto"/>
        <w:ind w:left="453"/>
        <w:jc w:val="left"/>
      </w:pPr>
      <w:r>
        <w:rPr>
          <w:rFonts w:eastAsia="等线" w:ascii="Arial" w:cs="Arial" w:hAnsi="Arial"/>
          <w:sz w:val="22"/>
        </w:rPr>
        <w:t>月度暂估量 = 过去两年平均盘盈亏 / 6，价值按当月最后一天LME现货价计算。</w:t>
      </w:r>
    </w:p>
    <w:p>
      <w:pPr>
        <w:numPr>
          <w:numId w:val="116"/>
        </w:numPr>
        <w:spacing w:before="120" w:after="120" w:line="288" w:lineRule="auto"/>
        <w:ind w:left="453"/>
        <w:jc w:val="left"/>
      </w:pPr>
      <w:r>
        <w:rPr>
          <w:rFonts w:eastAsia="等线" w:ascii="Arial" w:cs="Arial" w:hAnsi="Arial"/>
          <w:sz w:val="22"/>
        </w:rPr>
        <w:t>实际盘点差异 = 实际盘点库存 - 系统预期库存，价值按当月最后一天LME现货价计算。</w:t>
      </w:r>
    </w:p>
    <w:p>
      <w:pPr>
        <w:numPr>
          <w:numId w:val="117"/>
        </w:numPr>
        <w:spacing w:before="120" w:after="120" w:line="288" w:lineRule="auto"/>
        <w:ind w:left="0"/>
        <w:jc w:val="left"/>
      </w:pPr>
      <w:r>
        <w:rPr>
          <w:rFonts w:eastAsia="等线" w:ascii="Arial" w:cs="Arial" w:hAnsi="Arial"/>
          <w:sz w:val="22"/>
        </w:rPr>
        <w:t>数据来源：系统库存记录、实物盘点表、LME月末价。暂估量需管理层根据历史数据及审慎原则调整（如Serravalle因历史亏损将暂估调为零）。</w:t>
      </w:r>
    </w:p>
    <w:p>
      <w:pPr>
        <w:numPr>
          <w:numId w:val="118"/>
        </w:numPr>
        <w:spacing w:before="120" w:after="120" w:line="288" w:lineRule="auto"/>
        <w:ind w:left="0"/>
        <w:jc w:val="left"/>
      </w:pPr>
      <w:r>
        <w:rPr>
          <w:rFonts w:eastAsia="等线" w:ascii="Arial" w:cs="Arial" w:hAnsi="Arial"/>
          <w:sz w:val="22"/>
        </w:rPr>
        <w:t>当前状态：盘点结果受数据录入准确性影响极大（如柏林被盗卡车未入账导致盘亏虚高）。目前新系统能出盘点数据，但需确保日常移动记录准确。</w:t>
      </w:r>
    </w:p>
    <w:p>
      <w:pPr>
        <w:spacing w:before="120" w:after="120" w:line="288" w:lineRule="auto"/>
        <w:ind w:left="0"/>
        <w:jc w:val="center"/>
      </w:pPr>
      <w:r>
        <w:drawing>
          <wp:inline distT="0" distR="0" distB="0" distL="0">
            <wp:extent cx="5257800" cy="29527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3.2.1 </w:t>
      </w:r>
      <w:r>
        <w:rPr>
          <w:rFonts w:eastAsia="等线" w:ascii="Arial" w:cs="Arial" w:hAnsi="Arial"/>
          <w:b w:val="true"/>
          <w:sz w:val="30"/>
        </w:rPr>
        <w:t>核心业务逻辑：存货盘点结果的两层结构</w:t>
      </w:r>
      <w:bookmarkEnd w:id="40"/>
    </w:p>
    <w:p>
      <w:pPr>
        <w:spacing w:before="120" w:after="120" w:line="288" w:lineRule="auto"/>
        <w:ind w:left="0"/>
        <w:jc w:val="left"/>
      </w:pPr>
      <w:r>
        <w:rPr>
          <w:rFonts w:eastAsia="等线" w:ascii="Arial" w:cs="Arial" w:hAnsi="Arial"/>
          <w:sz w:val="22"/>
        </w:rPr>
        <w:t>存货盘点结果在管理报表中是一个汇总项（第5行），但它实际上由两部分构成：月度暂估和半年度实际盘点。</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1" w:id="41"/>
      <w:r>
        <w:rPr>
          <w:rFonts w:eastAsia="等线" w:ascii="Arial" w:cs="Arial" w:hAnsi="Arial"/>
          <w:b w:val="true"/>
          <w:sz w:val="30"/>
        </w:rPr>
        <w:t>第一部分：月度暂估（Provision/Monthly Target）</w:t>
      </w:r>
      <w:bookmarkEnd w:id="41"/>
    </w:p>
    <w:p>
      <w:pPr>
        <w:pStyle w:val="4"/>
        <w:spacing w:before="260" w:after="120" w:line="288" w:lineRule="auto"/>
        <w:ind w:left="0"/>
        <w:jc w:val="left"/>
        <w:outlineLvl w:val="3"/>
      </w:pPr>
      <w:bookmarkStart w:name="heading_42" w:id="42"/>
      <w:r>
        <w:rPr>
          <w:rFonts w:eastAsia="等线" w:ascii="Arial" w:cs="Arial" w:hAnsi="Arial"/>
          <w:color w:val="3370ff"/>
          <w:sz w:val="28"/>
        </w:rPr>
        <w:t xml:space="preserve">3.2.1.1 </w:t>
      </w:r>
      <w:r>
        <w:rPr>
          <w:rFonts w:eastAsia="等线" w:ascii="Arial" w:cs="Arial" w:hAnsi="Arial"/>
          <w:b w:val="true"/>
          <w:sz w:val="28"/>
        </w:rPr>
        <w:t>为什么要做暂估？</w:t>
      </w:r>
      <w:bookmarkEnd w:id="42"/>
    </w:p>
    <w:p>
      <w:pPr>
        <w:numPr>
          <w:numId w:val="119"/>
        </w:numPr>
        <w:spacing w:before="120" w:after="120" w:line="288" w:lineRule="auto"/>
        <w:ind w:left="0"/>
        <w:jc w:val="left"/>
      </w:pPr>
      <w:r>
        <w:rPr>
          <w:rFonts w:eastAsia="等线" w:ascii="Arial" w:cs="Arial" w:hAnsi="Arial"/>
          <w:sz w:val="22"/>
        </w:rPr>
        <w:t>盘点频率低：公司每年只进行两次实物盘点（年中一次，年末一次）。如果等到半年后盘点时才发现巨大的库存差异（盘盈或盘亏），市场价格可能已经发生了剧烈变化，届时再进行对冲将为时已晚，会导致巨大的损益波动。</w:t>
      </w:r>
    </w:p>
    <w:p>
      <w:pPr>
        <w:numPr>
          <w:numId w:val="120"/>
        </w:numPr>
        <w:spacing w:before="120" w:after="120" w:line="288" w:lineRule="auto"/>
        <w:ind w:left="0"/>
        <w:jc w:val="left"/>
      </w:pPr>
      <w:r>
        <w:rPr>
          <w:rFonts w:eastAsia="等线" w:ascii="Arial" w:cs="Arial" w:hAnsi="Arial"/>
          <w:sz w:val="22"/>
        </w:rPr>
        <w:t>风险平滑：通过在每月提前预估可能的盘盈亏，并让风控部门（Jingjing）按预估量进行对冲，可以将半年度的“一次性冲击”平滑为每月的“渐进式调整”。</w:t>
      </w:r>
    </w:p>
    <w:p>
      <w:pPr>
        <w:pStyle w:val="4"/>
        <w:spacing w:before="260" w:after="120" w:line="288" w:lineRule="auto"/>
        <w:ind w:left="0"/>
        <w:jc w:val="left"/>
        <w:outlineLvl w:val="3"/>
      </w:pPr>
      <w:bookmarkStart w:name="heading_43" w:id="43"/>
      <w:r>
        <w:rPr>
          <w:rFonts w:eastAsia="等线" w:ascii="Arial" w:cs="Arial" w:hAnsi="Arial"/>
          <w:color w:val="3370ff"/>
          <w:sz w:val="28"/>
        </w:rPr>
        <w:t xml:space="preserve">3.2.1.2 </w:t>
      </w:r>
      <w:r>
        <w:rPr>
          <w:rFonts w:eastAsia="等线" w:ascii="Arial" w:cs="Arial" w:hAnsi="Arial"/>
          <w:b w:val="true"/>
          <w:sz w:val="28"/>
        </w:rPr>
        <w:t>暂估的依据是什么？</w:t>
      </w:r>
      <w:bookmarkEnd w:id="43"/>
    </w:p>
    <w:p>
      <w:pPr>
        <w:numPr>
          <w:numId w:val="121"/>
        </w:numPr>
        <w:spacing w:before="120" w:after="120" w:line="288" w:lineRule="auto"/>
        <w:ind w:left="0"/>
        <w:jc w:val="left"/>
      </w:pPr>
      <w:r>
        <w:rPr>
          <w:rFonts w:eastAsia="等线" w:ascii="Arial" w:cs="Arial" w:hAnsi="Arial"/>
          <w:sz w:val="22"/>
        </w:rPr>
        <w:t>历史数据：暂估量的确定，主要基于过去两年的实际盘点结果的平均值。例如，如果过去两年平均每次盘点都盘盈60吨，那么就会预估每月有10吨的盘盈（60吨 ÷ 6个月）。</w:t>
      </w:r>
    </w:p>
    <w:p>
      <w:pPr>
        <w:numPr>
          <w:numId w:val="122"/>
        </w:numPr>
        <w:spacing w:before="120" w:after="120" w:line="288" w:lineRule="auto"/>
        <w:ind w:left="0"/>
        <w:jc w:val="left"/>
      </w:pPr>
      <w:r>
        <w:rPr>
          <w:rFonts w:eastAsia="等线" w:ascii="Arial" w:cs="Arial" w:hAnsi="Arial"/>
          <w:sz w:val="22"/>
        </w:rPr>
        <w:t>管理层判断（政治性决策）：这不是一个纯粹的数字游戏。管理层会根据对未来的预期和审慎性原则进行调整。</w:t>
      </w:r>
    </w:p>
    <w:p>
      <w:pPr>
        <w:numPr>
          <w:numId w:val="123"/>
        </w:numPr>
        <w:spacing w:before="120" w:after="120" w:line="288" w:lineRule="auto"/>
        <w:ind w:left="453"/>
        <w:jc w:val="left"/>
      </w:pPr>
      <w:r>
        <w:rPr>
          <w:rFonts w:eastAsia="等线" w:ascii="Arial" w:cs="Arial" w:hAnsi="Arial"/>
          <w:sz w:val="22"/>
        </w:rPr>
        <w:t>案例：Serravalle 2025年的调整</w:t>
      </w:r>
    </w:p>
    <w:p>
      <w:pPr>
        <w:numPr>
          <w:numId w:val="124"/>
        </w:numPr>
        <w:spacing w:before="120" w:after="120" w:line="288" w:lineRule="auto"/>
        <w:ind w:left="907"/>
        <w:jc w:val="left"/>
      </w:pPr>
      <w:r>
        <w:rPr>
          <w:rFonts w:eastAsia="等线" w:ascii="Arial" w:cs="Arial" w:hAnsi="Arial"/>
          <w:sz w:val="22"/>
        </w:rPr>
        <w:t>背景：Serravalle工厂在2023年底出现了重大盘亏（bad results）。</w:t>
      </w:r>
    </w:p>
    <w:p>
      <w:pPr>
        <w:numPr>
          <w:numId w:val="125"/>
        </w:numPr>
        <w:spacing w:before="120" w:after="120" w:line="288" w:lineRule="auto"/>
        <w:ind w:left="907"/>
        <w:jc w:val="left"/>
      </w:pPr>
      <w:r>
        <w:rPr>
          <w:rFonts w:eastAsia="等线" w:ascii="Arial" w:cs="Arial" w:hAnsi="Arial"/>
          <w:sz w:val="22"/>
        </w:rPr>
        <w:t>决策：为了避免在2025年的报表中再次出现亏损（或为了更审慎），管理层决定将每月的暂估量从之前的水平（如10吨/月）大幅降低至几乎为零。</w:t>
      </w:r>
    </w:p>
    <w:p>
      <w:pPr>
        <w:numPr>
          <w:numId w:val="126"/>
        </w:numPr>
        <w:spacing w:before="120" w:after="120" w:line="288" w:lineRule="auto"/>
        <w:ind w:left="907"/>
        <w:jc w:val="left"/>
      </w:pPr>
      <w:r>
        <w:rPr>
          <w:rFonts w:eastAsia="等线" w:ascii="Arial" w:cs="Arial" w:hAnsi="Arial"/>
          <w:sz w:val="22"/>
        </w:rPr>
        <w:t>逻辑：宁可少预估利润，也不要最后实际盘点时发现预估过高而导致利润回调。这是一种盈余管理或风险规避的策略。</w:t>
      </w:r>
    </w:p>
    <w:p>
      <w:pPr>
        <w:pStyle w:val="4"/>
        <w:spacing w:before="260" w:after="120" w:line="288" w:lineRule="auto"/>
        <w:ind w:left="0"/>
        <w:jc w:val="left"/>
        <w:outlineLvl w:val="3"/>
      </w:pPr>
      <w:bookmarkStart w:name="heading_44" w:id="44"/>
      <w:r>
        <w:rPr>
          <w:rFonts w:eastAsia="等线" w:ascii="Arial" w:cs="Arial" w:hAnsi="Arial"/>
          <w:color w:val="3370ff"/>
          <w:sz w:val="28"/>
        </w:rPr>
        <w:t xml:space="preserve">3.2.1.3 </w:t>
      </w:r>
      <w:r>
        <w:rPr>
          <w:rFonts w:eastAsia="等线" w:ascii="Arial" w:cs="Arial" w:hAnsi="Arial"/>
          <w:b w:val="true"/>
          <w:sz w:val="28"/>
        </w:rPr>
        <w:t>暂估的价值如何计算？</w:t>
      </w:r>
      <w:bookmarkEnd w:id="44"/>
    </w:p>
    <w:p>
      <w:pPr>
        <w:numPr>
          <w:numId w:val="127"/>
        </w:numPr>
        <w:spacing w:before="120" w:after="120" w:line="288" w:lineRule="auto"/>
        <w:ind w:left="0"/>
        <w:jc w:val="left"/>
      </w:pPr>
      <w:r>
        <w:rPr>
          <w:rFonts w:eastAsia="等线" w:ascii="Arial" w:cs="Arial" w:hAnsi="Arial"/>
          <w:sz w:val="22"/>
        </w:rPr>
        <w:t>价格取数：暂估的价值 = 预估数量 × 当月最后一天的LME现货结算价。</w:t>
      </w:r>
    </w:p>
    <w:p>
      <w:pPr>
        <w:numPr>
          <w:numId w:val="128"/>
        </w:numPr>
        <w:spacing w:before="120" w:after="120" w:line="288" w:lineRule="auto"/>
        <w:ind w:left="0"/>
        <w:jc w:val="left"/>
      </w:pPr>
      <w:r>
        <w:rPr>
          <w:rFonts w:eastAsia="等线" w:ascii="Arial" w:cs="Arial" w:hAnsi="Arial"/>
          <w:sz w:val="22"/>
        </w:rPr>
        <w:t>原因：这部分预估的盈亏尚未被对冲。在月末估值时，所能依据的最新市场价格就是当天的LME价格。虽然实际对冲会在次月中进行，届时价格可能不同，但月末估值必须采用一个客观的基准。</w:t>
      </w:r>
    </w:p>
    <w:p>
      <w:pPr>
        <w:pStyle w:val="4"/>
        <w:spacing w:before="260" w:after="120" w:line="288" w:lineRule="auto"/>
        <w:ind w:left="0"/>
        <w:jc w:val="left"/>
        <w:outlineLvl w:val="3"/>
      </w:pPr>
      <w:bookmarkStart w:name="heading_45" w:id="45"/>
      <w:r>
        <w:rPr>
          <w:rFonts w:eastAsia="等线" w:ascii="Arial" w:cs="Arial" w:hAnsi="Arial"/>
          <w:color w:val="3370ff"/>
          <w:sz w:val="28"/>
        </w:rPr>
        <w:t xml:space="preserve">3.2.1.4 </w:t>
      </w:r>
      <w:r>
        <w:rPr>
          <w:rFonts w:eastAsia="等线" w:ascii="Arial" w:cs="Arial" w:hAnsi="Arial"/>
          <w:b w:val="true"/>
          <w:sz w:val="28"/>
        </w:rPr>
        <w:t>暂估与对冲的联动</w:t>
      </w:r>
      <w:bookmarkEnd w:id="45"/>
    </w:p>
    <w:p>
      <w:pPr>
        <w:numPr>
          <w:numId w:val="129"/>
        </w:numPr>
        <w:spacing w:before="120" w:after="120" w:line="288" w:lineRule="auto"/>
        <w:ind w:left="0"/>
        <w:jc w:val="left"/>
      </w:pPr>
      <w:r>
        <w:rPr>
          <w:rFonts w:eastAsia="等线" w:ascii="Arial" w:cs="Arial" w:hAnsi="Arial"/>
          <w:sz w:val="22"/>
        </w:rPr>
        <w:t>操作流程：每月，负责暂估的人员（Eric）计算出当月预估的盘盈亏量（如+10吨铜）后，会将这个数量提供给风控人员（Jingjing）。Jingjing会在收到数据的当天，在期货市场上按当时的市场价进行对冲（如果是盘盈，意味着公司有多余的库存，需要卖出保值）。</w:t>
      </w:r>
    </w:p>
    <w:p>
      <w:pPr>
        <w:numPr>
          <w:numId w:val="130"/>
        </w:numPr>
        <w:spacing w:before="120" w:after="120" w:line="288" w:lineRule="auto"/>
        <w:ind w:left="0"/>
        <w:jc w:val="left"/>
      </w:pPr>
      <w:r>
        <w:rPr>
          <w:rFonts w:eastAsia="等线" w:ascii="Arial" w:cs="Arial" w:hAnsi="Arial"/>
          <w:sz w:val="22"/>
        </w:rPr>
        <w:t>重要性：如果不做每月暂估对冲，假设半年后盘盈100吨，而此时铜价已从月初的9000美元跌至7000美元，公司将因未能及时卖出而蒙受每吨2000美元的损失。</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6" w:id="46"/>
      <w:r>
        <w:rPr>
          <w:rFonts w:eastAsia="等线" w:ascii="Arial" w:cs="Arial" w:hAnsi="Arial"/>
          <w:b w:val="true"/>
          <w:sz w:val="30"/>
        </w:rPr>
        <w:t>第二部分：半年度实际盘点结果</w:t>
      </w:r>
      <w:bookmarkEnd w:id="46"/>
    </w:p>
    <w:p>
      <w:pPr>
        <w:pStyle w:val="4"/>
        <w:spacing w:before="260" w:after="120" w:line="288" w:lineRule="auto"/>
        <w:ind w:left="0"/>
        <w:jc w:val="left"/>
        <w:outlineLvl w:val="3"/>
      </w:pPr>
      <w:bookmarkStart w:name="heading_47" w:id="47"/>
      <w:r>
        <w:rPr>
          <w:rFonts w:eastAsia="等线" w:ascii="Arial" w:cs="Arial" w:hAnsi="Arial"/>
          <w:color w:val="3370ff"/>
          <w:sz w:val="28"/>
        </w:rPr>
        <w:t xml:space="preserve">3.2.1.1 </w:t>
      </w:r>
      <w:r>
        <w:rPr>
          <w:rFonts w:eastAsia="等线" w:ascii="Arial" w:cs="Arial" w:hAnsi="Arial"/>
          <w:b w:val="true"/>
          <w:sz w:val="28"/>
        </w:rPr>
        <w:t>盘点流程</w:t>
      </w:r>
      <w:bookmarkEnd w:id="47"/>
    </w:p>
    <w:p>
      <w:pPr>
        <w:numPr>
          <w:numId w:val="131"/>
        </w:numPr>
        <w:spacing w:before="120" w:after="120" w:line="288" w:lineRule="auto"/>
        <w:ind w:left="0"/>
        <w:jc w:val="left"/>
      </w:pPr>
      <w:r>
        <w:rPr>
          <w:rFonts w:eastAsia="等线" w:ascii="Arial" w:cs="Arial" w:hAnsi="Arial"/>
          <w:sz w:val="22"/>
        </w:rPr>
        <w:t>频率：每年两次。各基地时间略有不同（如柏林7月底和12月底，门登6月底和12月底等）。</w:t>
      </w:r>
    </w:p>
    <w:p>
      <w:pPr>
        <w:numPr>
          <w:numId w:val="132"/>
        </w:numPr>
        <w:spacing w:before="120" w:after="120" w:line="288" w:lineRule="auto"/>
        <w:ind w:left="0"/>
        <w:jc w:val="left"/>
      </w:pPr>
      <w:r>
        <w:rPr>
          <w:rFonts w:eastAsia="等线" w:ascii="Arial" w:cs="Arial" w:hAnsi="Arial"/>
          <w:sz w:val="22"/>
        </w:rPr>
        <w:t>方法：对库存实物进行物理清点，得到实际库存量。</w:t>
      </w:r>
    </w:p>
    <w:p>
      <w:pPr>
        <w:pStyle w:val="4"/>
        <w:spacing w:before="260" w:after="120" w:line="288" w:lineRule="auto"/>
        <w:ind w:left="0"/>
        <w:jc w:val="left"/>
        <w:outlineLvl w:val="3"/>
      </w:pPr>
      <w:bookmarkStart w:name="heading_48" w:id="48"/>
      <w:r>
        <w:rPr>
          <w:rFonts w:eastAsia="等线" w:ascii="Arial" w:cs="Arial" w:hAnsi="Arial"/>
          <w:color w:val="3370ff"/>
          <w:sz w:val="28"/>
        </w:rPr>
        <w:t xml:space="preserve">3.2.1.2 </w:t>
      </w:r>
      <w:r>
        <w:rPr>
          <w:rFonts w:eastAsia="等线" w:ascii="Arial" w:cs="Arial" w:hAnsi="Arial"/>
          <w:b w:val="true"/>
          <w:sz w:val="28"/>
        </w:rPr>
        <w:t>盘点差异的计算</w:t>
      </w:r>
      <w:bookmarkEnd w:id="48"/>
    </w:p>
    <w:p>
      <w:pPr>
        <w:numPr>
          <w:numId w:val="133"/>
        </w:numPr>
        <w:spacing w:before="120" w:after="120" w:line="288" w:lineRule="auto"/>
        <w:ind w:left="0"/>
        <w:jc w:val="left"/>
      </w:pPr>
      <w:r>
        <w:rPr>
          <w:rFonts w:eastAsia="等线" w:ascii="Arial" w:cs="Arial" w:hAnsi="Arial"/>
          <w:sz w:val="22"/>
        </w:rPr>
        <w:t>对比基准：将实际盘点结果，与CTRM系统中经过每月暂估调整后的预期库存量进行对比。</w:t>
      </w:r>
    </w:p>
    <w:p>
      <w:pPr>
        <w:numPr>
          <w:numId w:val="134"/>
        </w:numPr>
        <w:spacing w:before="120" w:after="120" w:line="288" w:lineRule="auto"/>
        <w:ind w:left="453"/>
        <w:jc w:val="left"/>
      </w:pPr>
      <w:r>
        <w:rPr>
          <w:rFonts w:eastAsia="等线" w:ascii="Arial" w:cs="Arial" w:hAnsi="Arial"/>
          <w:sz w:val="22"/>
        </w:rPr>
        <w:t>系统预期库存 = 期初库存 + 入库 - 出库 ± 每月暂估调整量。</w:t>
      </w:r>
    </w:p>
    <w:p>
      <w:pPr>
        <w:numPr>
          <w:numId w:val="135"/>
        </w:numPr>
        <w:spacing w:before="120" w:after="120" w:line="288" w:lineRule="auto"/>
        <w:ind w:left="0"/>
        <w:jc w:val="left"/>
      </w:pPr>
      <w:r>
        <w:rPr>
          <w:rFonts w:eastAsia="等线" w:ascii="Arial" w:cs="Arial" w:hAnsi="Arial"/>
          <w:sz w:val="22"/>
        </w:rPr>
        <w:t>差异处理：</w:t>
      </w:r>
    </w:p>
    <w:p>
      <w:pPr>
        <w:numPr>
          <w:numId w:val="136"/>
        </w:numPr>
        <w:spacing w:before="120" w:after="120" w:line="288" w:lineRule="auto"/>
        <w:ind w:left="453"/>
        <w:jc w:val="left"/>
      </w:pPr>
      <w:r>
        <w:rPr>
          <w:rFonts w:eastAsia="等线" w:ascii="Arial" w:cs="Arial" w:hAnsi="Arial"/>
          <w:sz w:val="22"/>
        </w:rPr>
        <w:t>盘盈（实际 &gt; 预期）：产生正差异，意味着之前预估不足，是一笔意外之财。</w:t>
      </w:r>
    </w:p>
    <w:p>
      <w:pPr>
        <w:numPr>
          <w:numId w:val="137"/>
        </w:numPr>
        <w:spacing w:before="120" w:after="120" w:line="288" w:lineRule="auto"/>
        <w:ind w:left="453"/>
        <w:jc w:val="left"/>
      </w:pPr>
      <w:r>
        <w:rPr>
          <w:rFonts w:eastAsia="等线" w:ascii="Arial" w:cs="Arial" w:hAnsi="Arial"/>
          <w:sz w:val="22"/>
        </w:rPr>
        <w:t>盘亏（实际 &lt; 预期）：产生负差异，意味着之前预估过多，是一笔意外损失。</w:t>
      </w:r>
    </w:p>
    <w:p>
      <w:pPr>
        <w:numPr>
          <w:numId w:val="138"/>
        </w:numPr>
        <w:spacing w:before="120" w:after="120" w:line="288" w:lineRule="auto"/>
        <w:ind w:left="0"/>
        <w:jc w:val="left"/>
      </w:pPr>
      <w:r>
        <w:rPr>
          <w:rFonts w:eastAsia="等线" w:ascii="Arial" w:cs="Arial" w:hAnsi="Arial"/>
          <w:sz w:val="22"/>
        </w:rPr>
        <w:t>对冲：盘点差异确认后，同样会提供给Jingjing进行对冲（盘盈则卖出，盘亏则买入）。</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9" w:id="49"/>
      <w:r>
        <w:rPr>
          <w:rFonts w:eastAsia="等线" w:ascii="Arial" w:cs="Arial" w:hAnsi="Arial"/>
          <w:b w:val="true"/>
          <w:sz w:val="30"/>
        </w:rPr>
        <w:t>关键洞察：数据质量是盘点结果的生命线</w:t>
      </w:r>
      <w:bookmarkEnd w:id="49"/>
    </w:p>
    <w:p>
      <w:pPr>
        <w:spacing w:before="120" w:after="120" w:line="288" w:lineRule="auto"/>
        <w:ind w:left="0"/>
        <w:jc w:val="left"/>
      </w:pPr>
      <w:r>
        <w:rPr>
          <w:rFonts w:eastAsia="等线" w:ascii="Arial" w:cs="Arial" w:hAnsi="Arial"/>
          <w:sz w:val="22"/>
        </w:rPr>
        <w:t>记录中反复强调了一个核心观点：盘点结果的有效性，完全依赖于系统内日常移动记录（movements）的准确性。</w:t>
      </w:r>
    </w:p>
    <w:p>
      <w:pPr>
        <w:pStyle w:val="4"/>
        <w:spacing w:before="260" w:after="120" w:line="288" w:lineRule="auto"/>
        <w:ind w:left="0"/>
        <w:jc w:val="left"/>
        <w:outlineLvl w:val="3"/>
      </w:pPr>
      <w:bookmarkStart w:name="heading_50" w:id="50"/>
      <w:r>
        <w:rPr>
          <w:rFonts w:eastAsia="等线" w:ascii="Arial" w:cs="Arial" w:hAnsi="Arial"/>
          <w:color w:val="3370ff"/>
          <w:sz w:val="28"/>
        </w:rPr>
        <w:t xml:space="preserve">3.2.1.1 </w:t>
      </w:r>
      <w:r>
        <w:rPr>
          <w:rFonts w:eastAsia="等线" w:ascii="Arial" w:cs="Arial" w:hAnsi="Arial"/>
          <w:b w:val="true"/>
          <w:sz w:val="28"/>
        </w:rPr>
        <w:t>盘点差异 ≠ 熔炼损耗</w:t>
      </w:r>
      <w:bookmarkEnd w:id="50"/>
    </w:p>
    <w:p>
      <w:pPr>
        <w:spacing w:before="120" w:after="120" w:line="288" w:lineRule="auto"/>
        <w:ind w:left="0"/>
        <w:jc w:val="left"/>
      </w:pPr>
      <w:r>
        <w:rPr>
          <w:rFonts w:eastAsia="等线" w:ascii="Arial" w:cs="Arial" w:hAnsi="Arial"/>
          <w:sz w:val="22"/>
        </w:rPr>
        <w:t>很多人会认为盘点差异直接反映了熔炼技术的好坏（熔炼损耗的高低）。但记录通过两个案例明确指出，盘点差异中混杂了大量操作失误的因素。</w:t>
      </w:r>
    </w:p>
    <w:p>
      <w:pPr>
        <w:numPr>
          <w:numId w:val="139"/>
        </w:numPr>
        <w:spacing w:before="120" w:after="120" w:line="288" w:lineRule="auto"/>
        <w:ind w:left="0"/>
        <w:jc w:val="left"/>
      </w:pPr>
      <w:r>
        <w:rPr>
          <w:rFonts w:eastAsia="等线" w:ascii="Arial" w:cs="Arial" w:hAnsi="Arial"/>
          <w:sz w:val="22"/>
        </w:rPr>
        <w:t>案例A：柏林（Berlin）的“被盗卡车”</w:t>
      </w:r>
    </w:p>
    <w:p>
      <w:pPr>
        <w:numPr>
          <w:numId w:val="140"/>
        </w:numPr>
        <w:spacing w:before="120" w:after="120" w:line="288" w:lineRule="auto"/>
        <w:ind w:left="453"/>
        <w:jc w:val="left"/>
      </w:pPr>
      <w:r>
        <w:rPr>
          <w:rFonts w:eastAsia="等线" w:ascii="Arial" w:cs="Arial" w:hAnsi="Arial"/>
          <w:sz w:val="22"/>
        </w:rPr>
        <w:t>现象：柏林年底盘点显示盘亏70吨。</w:t>
      </w:r>
    </w:p>
    <w:p>
      <w:pPr>
        <w:numPr>
          <w:numId w:val="141"/>
        </w:numPr>
        <w:spacing w:before="120" w:after="120" w:line="288" w:lineRule="auto"/>
        <w:ind w:left="453"/>
        <w:jc w:val="left"/>
      </w:pPr>
      <w:r>
        <w:rPr>
          <w:rFonts w:eastAsia="等线" w:ascii="Arial" w:cs="Arial" w:hAnsi="Arial"/>
          <w:sz w:val="22"/>
        </w:rPr>
        <w:t>真相：后来发现，有一辆从Butel运往柏林的卡车货物被盗，但这批货物的移动记录没有被及时、正确地更新到系统中。</w:t>
      </w:r>
    </w:p>
    <w:p>
      <w:pPr>
        <w:numPr>
          <w:numId w:val="142"/>
        </w:numPr>
        <w:spacing w:before="120" w:after="120" w:line="288" w:lineRule="auto"/>
        <w:ind w:left="453"/>
        <w:jc w:val="left"/>
      </w:pPr>
      <w:r>
        <w:rPr>
          <w:rFonts w:eastAsia="等线" w:ascii="Arial" w:cs="Arial" w:hAnsi="Arial"/>
          <w:sz w:val="22"/>
        </w:rPr>
        <w:t>修正：扣除这25吨的失误后，真正的盘亏应为45吨。如果不修正，管理层会误以为柏林的熔炼损耗大幅恶化。</w:t>
      </w:r>
    </w:p>
    <w:p>
      <w:pPr>
        <w:numPr>
          <w:numId w:val="143"/>
        </w:numPr>
        <w:spacing w:before="120" w:after="120" w:line="288" w:lineRule="auto"/>
        <w:ind w:left="0"/>
        <w:jc w:val="left"/>
      </w:pPr>
      <w:r>
        <w:rPr>
          <w:rFonts w:eastAsia="等线" w:ascii="Arial" w:cs="Arial" w:hAnsi="Arial"/>
          <w:sz w:val="22"/>
        </w:rPr>
        <w:t>案例B：门登（Menden）的“不可能盘盈”</w:t>
      </w:r>
    </w:p>
    <w:p>
      <w:pPr>
        <w:numPr>
          <w:numId w:val="144"/>
        </w:numPr>
        <w:spacing w:before="120" w:after="120" w:line="288" w:lineRule="auto"/>
        <w:ind w:left="453"/>
        <w:jc w:val="left"/>
      </w:pPr>
      <w:r>
        <w:rPr>
          <w:rFonts w:eastAsia="等线" w:ascii="Arial" w:cs="Arial" w:hAnsi="Arial"/>
          <w:sz w:val="22"/>
        </w:rPr>
        <w:t>现象：门登（一个没有熔炼炉的基地）在2024年盘点时竟然盘盈了200吨。</w:t>
      </w:r>
    </w:p>
    <w:p>
      <w:pPr>
        <w:numPr>
          <w:numId w:val="145"/>
        </w:numPr>
        <w:spacing w:before="120" w:after="120" w:line="288" w:lineRule="auto"/>
        <w:ind w:left="453"/>
        <w:jc w:val="left"/>
      </w:pPr>
      <w:r>
        <w:rPr>
          <w:rFonts w:eastAsia="等线" w:ascii="Arial" w:cs="Arial" w:hAnsi="Arial"/>
          <w:sz w:val="22"/>
        </w:rPr>
        <w:t>真相：这完全不可能由生产导致。后来查明，是有人错误地录入了一笔约200吨的移动记录。</w:t>
      </w:r>
    </w:p>
    <w:p>
      <w:pPr>
        <w:numPr>
          <w:numId w:val="146"/>
        </w:numPr>
        <w:spacing w:before="120" w:after="120" w:line="288" w:lineRule="auto"/>
        <w:ind w:left="453"/>
        <w:jc w:val="left"/>
      </w:pPr>
      <w:r>
        <w:rPr>
          <w:rFonts w:eastAsia="等线" w:ascii="Arial" w:cs="Arial" w:hAnsi="Arial"/>
          <w:sz w:val="22"/>
        </w:rPr>
        <w:t>结论：如果没有正确的移动记录，盘点结果就是“垃圾进，垃圾出”。</w:t>
      </w:r>
    </w:p>
    <w:p>
      <w:pPr>
        <w:pStyle w:val="4"/>
        <w:spacing w:before="260" w:after="120" w:line="288" w:lineRule="auto"/>
        <w:ind w:left="0"/>
        <w:jc w:val="left"/>
        <w:outlineLvl w:val="3"/>
      </w:pPr>
      <w:bookmarkStart w:name="heading_51" w:id="51"/>
      <w:r>
        <w:rPr>
          <w:rFonts w:eastAsia="等线" w:ascii="Arial" w:cs="Arial" w:hAnsi="Arial"/>
          <w:color w:val="3370ff"/>
          <w:sz w:val="28"/>
        </w:rPr>
        <w:t xml:space="preserve">3.2.1.2 </w:t>
      </w:r>
      <w:r>
        <w:rPr>
          <w:rFonts w:eastAsia="等线" w:ascii="Arial" w:cs="Arial" w:hAnsi="Arial"/>
          <w:b w:val="true"/>
          <w:sz w:val="28"/>
        </w:rPr>
        <w:t>对管理的启示</w:t>
      </w:r>
      <w:bookmarkEnd w:id="51"/>
    </w:p>
    <w:p>
      <w:pPr>
        <w:numPr>
          <w:numId w:val="147"/>
        </w:numPr>
        <w:spacing w:before="120" w:after="120" w:line="288" w:lineRule="auto"/>
        <w:ind w:left="0"/>
        <w:jc w:val="left"/>
      </w:pPr>
      <w:r>
        <w:rPr>
          <w:rFonts w:eastAsia="等线" w:ascii="Arial" w:cs="Arial" w:hAnsi="Arial"/>
          <w:sz w:val="22"/>
        </w:rPr>
        <w:t>系统可靠性：一个完美的CTRM系统，必须建立在用户正确录入数据的基础上。如果前端数据质量无法保证，后端的任何复杂计算和分析都会失真。</w:t>
      </w:r>
    </w:p>
    <w:p>
      <w:pPr>
        <w:numPr>
          <w:numId w:val="148"/>
        </w:numPr>
        <w:spacing w:before="120" w:after="120" w:line="288" w:lineRule="auto"/>
        <w:ind w:left="0"/>
        <w:jc w:val="left"/>
      </w:pPr>
      <w:r>
        <w:rPr>
          <w:rFonts w:eastAsia="等线" w:ascii="Arial" w:cs="Arial" w:hAnsi="Arial"/>
          <w:sz w:val="22"/>
        </w:rPr>
        <w:t>问题溯源：当盘点出现巨大差异时，不应直接归咎于生产部门（如熔炼损耗变大），而应首先排查所有业务移动记录是否完整、准确。可能是入库没收、出库未销、被盗未记等人为或流程漏洞。</w:t>
      </w:r>
    </w:p>
    <w:p>
      <w:pPr>
        <w:numPr>
          <w:numId w:val="149"/>
        </w:numPr>
        <w:spacing w:before="120" w:after="120" w:line="288" w:lineRule="auto"/>
        <w:ind w:left="0"/>
        <w:jc w:val="left"/>
      </w:pPr>
      <w:r>
        <w:rPr>
          <w:rFonts w:eastAsia="等线" w:ascii="Arial" w:cs="Arial" w:hAnsi="Arial"/>
          <w:sz w:val="22"/>
        </w:rPr>
        <w:t>绩效评价的偏差：如果因数据录入错误导致某工厂显示“盘亏严重”，可能会错误地影响对该工厂管理层的绩效评价。</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2" w:id="52"/>
      <w:r>
        <w:rPr>
          <w:rFonts w:eastAsia="等线" w:ascii="Arial" w:cs="Arial" w:hAnsi="Arial"/>
          <w:b w:val="true"/>
          <w:sz w:val="30"/>
        </w:rPr>
        <w:t>对门登特殊情况的初步识别</w:t>
      </w:r>
      <w:bookmarkEnd w:id="52"/>
    </w:p>
    <w:p>
      <w:pPr>
        <w:spacing w:before="120" w:after="120" w:line="288" w:lineRule="auto"/>
        <w:ind w:left="0"/>
        <w:jc w:val="left"/>
      </w:pPr>
      <w:r>
        <w:rPr>
          <w:rFonts w:eastAsia="等线" w:ascii="Arial" w:cs="Arial" w:hAnsi="Arial"/>
          <w:sz w:val="22"/>
        </w:rPr>
        <w:t>记录末尾提到了门登的一个特殊问题：理论重量 vs 实际重量。</w:t>
      </w:r>
    </w:p>
    <w:p>
      <w:pPr>
        <w:numPr>
          <w:numId w:val="150"/>
        </w:numPr>
        <w:spacing w:before="120" w:after="120" w:line="288" w:lineRule="auto"/>
        <w:ind w:left="0"/>
        <w:jc w:val="left"/>
      </w:pPr>
      <w:r>
        <w:rPr>
          <w:rFonts w:eastAsia="等线" w:ascii="Arial" w:cs="Arial" w:hAnsi="Arial"/>
          <w:sz w:val="22"/>
        </w:rPr>
        <w:t>业务模式：门登的产品（如铜管）可能按米数销售，但金属重量是按理论重量（基于标准壁厚/直径计算）与客户结算和保值，而实际库存的物理重量可能因壁厚公差存在差异（如理论1吨，实际仅0.93吨）。</w:t>
      </w:r>
    </w:p>
    <w:p>
      <w:pPr>
        <w:numPr>
          <w:numId w:val="151"/>
        </w:numPr>
        <w:spacing w:before="120" w:after="120" w:line="288" w:lineRule="auto"/>
        <w:ind w:left="0"/>
        <w:jc w:val="left"/>
      </w:pPr>
      <w:r>
        <w:rPr>
          <w:rFonts w:eastAsia="等线" w:ascii="Arial" w:cs="Arial" w:hAnsi="Arial"/>
          <w:sz w:val="22"/>
        </w:rPr>
        <w:t>潜在影响：这种“理论”与“实际”的持续偏差，会不断积累，最终也会在存货盘点中体现出来。如果保值按理论重量操作，而实物按实际重量出入库，中间的差异就需要在盘点结果中解释和对冲。</w:t>
      </w:r>
    </w:p>
    <w:p>
      <w:pPr>
        <w:numPr>
          <w:numId w:val="152"/>
        </w:numPr>
        <w:spacing w:before="120" w:after="120" w:line="288" w:lineRule="auto"/>
        <w:ind w:left="0"/>
        <w:jc w:val="left"/>
      </w:pPr>
      <w:r>
        <w:rPr>
          <w:rFonts w:eastAsia="等线" w:ascii="Arial" w:cs="Arial" w:hAnsi="Arial"/>
          <w:sz w:val="22"/>
        </w:rPr>
        <w:t>结论：这是一个需要单独深入分析的专题，因为它涉及销售、保值、库存管理多个环节的特殊处理。</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3" w:id="53"/>
      <w:r>
        <w:rPr>
          <w:rFonts w:eastAsia="等线" w:ascii="Arial" w:cs="Arial" w:hAnsi="Arial"/>
          <w:b w:val="true"/>
          <w:sz w:val="30"/>
        </w:rPr>
        <w:t>对CTRM系统与业务管理的总结</w:t>
      </w:r>
      <w:bookmarkEnd w:id="53"/>
    </w:p>
    <w:p>
      <w:pPr>
        <w:spacing w:before="120" w:after="120" w:line="288" w:lineRule="auto"/>
        <w:ind w:left="0"/>
        <w:jc w:val="left"/>
      </w:pPr>
      <w:r>
        <w:rPr>
          <w:rFonts w:eastAsia="等线" w:ascii="Arial" w:cs="Arial" w:hAnsi="Arial"/>
          <w:sz w:val="22"/>
        </w:rPr>
        <w:t>最终结论：存货盘点结果这个科目，表面上是库存实物的数量差异，实际上是公司风险管理策略、历史数据应用、管理层判断，以及最基础的数据录入质量共同作用的综合体现。一个健康的CTRM系统，必须同时支持精准的对冲操作、灵活的暂估调整，以及穿透式的数据溯源能力。</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4" w:id="54"/>
      <w:r>
        <w:rPr>
          <w:rFonts w:eastAsia="等线" w:ascii="Arial" w:cs="Arial" w:hAnsi="Arial"/>
          <w:color w:val="3370ff"/>
          <w:sz w:val="32"/>
        </w:rPr>
        <w:t xml:space="preserve">3.3 </w:t>
      </w:r>
      <w:r>
        <w:rPr>
          <w:rFonts w:eastAsia="等线" w:ascii="Arial" w:cs="Arial" w:hAnsi="Arial"/>
          <w:b w:val="true"/>
          <w:sz w:val="32"/>
        </w:rPr>
        <w:t>Fe + Fines from Slags &amp; Fumes 来自炉渣和烟尘的铁粉和细粉</w:t>
      </w:r>
      <w:bookmarkEnd w:id="54"/>
    </w:p>
    <w:p>
      <w:pPr>
        <w:spacing w:before="120" w:after="120" w:line="288" w:lineRule="auto"/>
        <w:ind w:left="0"/>
        <w:jc w:val="left"/>
      </w:pPr>
      <w:r>
        <w:rPr>
          <w:rFonts w:eastAsia="等线" w:ascii="Arial" w:cs="Arial" w:hAnsi="Arial"/>
          <w:sz w:val="22"/>
        </w:rPr>
        <w:t>炉灰炉渣销售：本月实现炉灰炉渣销售，开票收入中主要包含炉渣里的铁和炉灰里的锌，几乎不含铜。科目核算差异：国外业务科目颗粒度与国内不同，无专门的“其他业务收入”科目，炉灰炉渣销售在主营业务收入范畴，属于一类业务。</w:t>
      </w:r>
    </w:p>
    <w:p>
      <w:pPr>
        <w:spacing w:before="120" w:after="120" w:line="288" w:lineRule="auto"/>
        <w:ind w:left="0"/>
        <w:jc w:val="left"/>
      </w:pPr>
      <w:r>
        <w:rPr>
          <w:rFonts w:eastAsia="等线" w:ascii="Arial" w:cs="Arial" w:hAnsi="Arial"/>
          <w:sz w:val="22"/>
        </w:rPr>
        <w:t>销售实现原则：业务以销售实现制为原则进行核算，即产品销售实现时确认收入。科目归属：炉灰氧化锌处理在业务收入核算中，虽无专门“其他业务收入”科目，但在大范畴内属于主营业务收入，单项业务归类于炉灰炉渣销售。 核算依据：以销售实现制为原则，确保收入确认的准确性和及时</w:t>
      </w:r>
    </w:p>
    <w:p>
      <w:pPr>
        <w:numPr>
          <w:numId w:val="153"/>
        </w:numPr>
        <w:spacing w:before="120" w:after="120" w:line="288" w:lineRule="auto"/>
        <w:ind w:left="0"/>
        <w:jc w:val="left"/>
      </w:pPr>
      <w:r>
        <w:rPr>
          <w:rFonts w:eastAsia="等线" w:ascii="Arial" w:cs="Arial" w:hAnsi="Arial"/>
          <w:sz w:val="22"/>
        </w:rPr>
        <w:t>定义：生产过程中产生的炉渣、烟尘等副产品（主要为氧化锌、铁等）的销售收入。</w:t>
      </w:r>
    </w:p>
    <w:p>
      <w:pPr>
        <w:numPr>
          <w:numId w:val="154"/>
        </w:numPr>
        <w:spacing w:before="120" w:after="120" w:line="288" w:lineRule="auto"/>
        <w:ind w:left="0"/>
        <w:jc w:val="left"/>
      </w:pPr>
      <w:r>
        <w:rPr>
          <w:rFonts w:eastAsia="等线" w:ascii="Arial" w:cs="Arial" w:hAnsi="Arial"/>
          <w:sz w:val="22"/>
        </w:rPr>
        <w:t>产生原因：熔炼过程中，金属会部分氧化进入炉渣或烟尘，这些副产品经收集后可对外销售（如卖给氧化锌加工厂）。销售收入计入金属损益。</w:t>
      </w:r>
    </w:p>
    <w:p>
      <w:pPr>
        <w:numPr>
          <w:numId w:val="155"/>
        </w:numPr>
        <w:spacing w:before="120" w:after="120" w:line="288" w:lineRule="auto"/>
        <w:ind w:left="0"/>
        <w:jc w:val="left"/>
      </w:pPr>
      <w:r>
        <w:rPr>
          <w:rFonts w:eastAsia="等线" w:ascii="Arial" w:cs="Arial" w:hAnsi="Arial"/>
          <w:sz w:val="22"/>
        </w:rPr>
        <w:t>计算逻辑：按月汇总所有副产品销售发票金额（不含税），直接作为收入项。由于这些副产品基本不含铜，销售价通常低于LME金属价。</w:t>
      </w:r>
    </w:p>
    <w:p>
      <w:pPr>
        <w:numPr>
          <w:numId w:val="156"/>
        </w:numPr>
        <w:spacing w:before="120" w:after="120" w:line="288" w:lineRule="auto"/>
        <w:ind w:left="0"/>
        <w:jc w:val="left"/>
      </w:pPr>
      <w:r>
        <w:rPr>
          <w:rFonts w:eastAsia="等线" w:ascii="Arial" w:cs="Arial" w:hAnsi="Arial"/>
          <w:sz w:val="22"/>
        </w:rPr>
        <w:t>数据来源：销售发票、副产品出库记录。在财务科目中，通常有专门子科目核算，而非混入其他业务收入。</w:t>
      </w:r>
    </w:p>
    <w:p>
      <w:pPr>
        <w:numPr>
          <w:numId w:val="157"/>
        </w:numPr>
        <w:spacing w:before="120" w:after="120" w:line="288" w:lineRule="auto"/>
        <w:ind w:left="0"/>
        <w:jc w:val="left"/>
      </w:pPr>
      <w:r>
        <w:rPr>
          <w:rFonts w:eastAsia="等线" w:ascii="Arial" w:cs="Arial" w:hAnsi="Arial"/>
          <w:sz w:val="22"/>
        </w:rPr>
        <w:t>当前状态：数据清晰，每月可统计。在黄铜总表中列为第6行，门登报表中也类似。</w:t>
      </w:r>
    </w:p>
    <w:p>
      <w:pPr>
        <w:spacing w:before="120" w:after="120" w:line="288" w:lineRule="auto"/>
        <w:ind w:left="0"/>
        <w:jc w:val="left"/>
      </w:pPr>
    </w:p>
    <w:p>
      <w:pPr>
        <w:pStyle w:val="1"/>
        <w:spacing w:before="380" w:after="140" w:line="288" w:lineRule="auto"/>
        <w:ind w:left="0"/>
        <w:jc w:val="left"/>
        <w:outlineLvl w:val="0"/>
      </w:pPr>
      <w:bookmarkStart w:name="heading_55" w:id="55"/>
      <w:r>
        <w:rPr>
          <w:rFonts w:eastAsia="等线" w:ascii="Arial" w:cs="Arial" w:hAnsi="Arial"/>
          <w:color w:val="3370ff"/>
          <w:sz w:val="36"/>
        </w:rPr>
        <w:t xml:space="preserve">4. </w:t>
      </w:r>
      <w:r>
        <w:rPr>
          <w:rFonts w:eastAsia="等线" w:ascii="Arial" w:cs="Arial" w:hAnsi="Arial"/>
          <w:b w:val="true"/>
          <w:sz w:val="36"/>
        </w:rPr>
        <w:t>保值</w:t>
      </w:r>
      <w:bookmarkEnd w:id="55"/>
    </w:p>
    <w:p>
      <w:pPr>
        <w:pStyle w:val="2"/>
        <w:spacing w:before="320" w:after="120" w:line="288" w:lineRule="auto"/>
        <w:ind w:left="0"/>
        <w:jc w:val="left"/>
        <w:outlineLvl w:val="1"/>
      </w:pPr>
      <w:bookmarkStart w:name="heading_56" w:id="56"/>
      <w:r>
        <w:rPr>
          <w:rFonts w:eastAsia="等线" w:ascii="Arial" w:cs="Arial" w:hAnsi="Arial"/>
          <w:color w:val="3370ff"/>
          <w:sz w:val="32"/>
        </w:rPr>
        <w:t xml:space="preserve">4.1 </w:t>
      </w:r>
      <w:r>
        <w:rPr>
          <w:rFonts w:eastAsia="等线" w:ascii="Arial" w:cs="Arial" w:hAnsi="Arial"/>
          <w:b w:val="true"/>
          <w:sz w:val="32"/>
        </w:rPr>
        <w:t>Contango/ Backwardation LME移仓盈亏+当日保值盈亏</w:t>
      </w:r>
      <w:bookmarkEnd w:id="56"/>
    </w:p>
    <w:p>
      <w:pPr>
        <w:spacing w:before="120" w:after="120" w:line="288" w:lineRule="auto"/>
        <w:ind w:left="0"/>
        <w:jc w:val="left"/>
      </w:pPr>
      <w:r>
        <w:rPr>
          <w:rFonts w:eastAsia="等线" w:ascii="Arial" w:cs="Arial" w:hAnsi="Arial"/>
          <w:sz w:val="22"/>
        </w:rPr>
        <w:t>损益计算方式：LME 调期业务涉及现货与期货价格差异，当下保值即记损益，包含当下保值产生的盈亏以及到期转期时的盈亏，两项盈亏相加。</w:t>
      </w:r>
    </w:p>
    <w:p>
      <w:pPr>
        <w:spacing w:before="120" w:after="120" w:line="288" w:lineRule="auto"/>
        <w:ind w:left="0"/>
        <w:jc w:val="left"/>
      </w:pPr>
      <w:r>
        <w:rPr>
          <w:rFonts w:eastAsia="等线" w:ascii="Arial" w:cs="Arial" w:hAnsi="Arial"/>
          <w:sz w:val="22"/>
        </w:rPr>
        <w:t>科目记录情况：损益均记录在同一科目中，每月在 SAP 系统进行相关记录和处理。</w:t>
      </w:r>
    </w:p>
    <w:p>
      <w:pPr>
        <w:spacing w:before="120" w:after="120" w:line="288" w:lineRule="auto"/>
        <w:ind w:left="0"/>
        <w:jc w:val="left"/>
      </w:pPr>
      <w:r>
        <w:rPr>
          <w:rFonts w:eastAsia="等线" w:ascii="Arial" w:cs="Arial" w:hAnsi="Arial"/>
          <w:sz w:val="22"/>
        </w:rPr>
        <w:t>定义：因LME期货持仓展期（移仓）产生的价差损益，以及每日保值操作中因点价与对冲时间差产生的价差损益。</w:t>
      </w:r>
    </w:p>
    <w:p>
      <w:pPr>
        <w:spacing w:before="120" w:after="120" w:line="288" w:lineRule="auto"/>
        <w:ind w:left="0"/>
        <w:jc w:val="left"/>
      </w:pPr>
      <w:r>
        <w:rPr>
          <w:rFonts w:eastAsia="等线" w:ascii="Arial" w:cs="Arial" w:hAnsi="Arial"/>
          <w:sz w:val="22"/>
        </w:rPr>
        <w:t>产生原因：</w:t>
      </w:r>
    </w:p>
    <w:p>
      <w:pPr>
        <w:numPr>
          <w:numId w:val="158"/>
        </w:numPr>
        <w:spacing w:before="120" w:after="120" w:line="288" w:lineRule="auto"/>
        <w:ind w:left="0"/>
        <w:jc w:val="left"/>
      </w:pPr>
      <w:r>
        <w:rPr>
          <w:rFonts w:eastAsia="等线" w:ascii="Arial" w:cs="Arial" w:hAnsi="Arial"/>
          <w:sz w:val="22"/>
        </w:rPr>
        <w:t>移仓盈亏：当LME空头头寸临近交割日，需买入近月、卖出远月进行展期。若市场处于contango（远月高），则展期盈利；若backwardation（远月低），则亏损。</w:t>
      </w:r>
    </w:p>
    <w:p>
      <w:pPr>
        <w:numPr>
          <w:numId w:val="159"/>
        </w:numPr>
        <w:spacing w:before="120" w:after="120" w:line="288" w:lineRule="auto"/>
        <w:ind w:left="0"/>
        <w:jc w:val="left"/>
      </w:pPr>
      <w:r>
        <w:rPr>
          <w:rFonts w:eastAsia="等线" w:ascii="Arial" w:cs="Arial" w:hAnsi="Arial"/>
          <w:sz w:val="22"/>
        </w:rPr>
        <w:t>当日保值盈亏：销售点价后，风控需立即在LME买入对冲，但买入的是远期合约，其价格与现货价之差（即升贴水）会立即产生损益，计入当月。</w:t>
      </w:r>
    </w:p>
    <w:p>
      <w:pPr>
        <w:spacing w:before="120" w:after="120" w:line="288" w:lineRule="auto"/>
        <w:ind w:left="0"/>
        <w:jc w:val="left"/>
      </w:pPr>
      <w:r>
        <w:rPr>
          <w:rFonts w:eastAsia="等线" w:ascii="Arial" w:cs="Arial" w:hAnsi="Arial"/>
          <w:sz w:val="22"/>
        </w:rPr>
        <w:t>计算逻辑：逐笔计算所有LME调期交易和当日对冲交易的价差×数量，汇总当月总额。</w:t>
      </w:r>
    </w:p>
    <w:p>
      <w:pPr>
        <w:spacing w:before="120" w:after="120" w:line="288" w:lineRule="auto"/>
        <w:ind w:left="0"/>
        <w:jc w:val="left"/>
      </w:pPr>
      <w:r>
        <w:rPr>
          <w:rFonts w:eastAsia="等线" w:ascii="Arial" w:cs="Arial" w:hAnsi="Arial"/>
          <w:sz w:val="22"/>
        </w:rPr>
        <w:t>数据来源：LME交易记录、点价单、对冲单。新系统可提供数据，但需确保价格准确。</w:t>
      </w:r>
    </w:p>
    <w:p>
      <w:pPr>
        <w:spacing w:before="120" w:after="120" w:line="288" w:lineRule="auto"/>
        <w:ind w:left="0"/>
        <w:jc w:val="left"/>
      </w:pPr>
      <w:r>
        <w:rPr>
          <w:rFonts w:eastAsia="等线" w:ascii="Arial" w:cs="Arial" w:hAnsi="Arial"/>
          <w:sz w:val="22"/>
        </w:rPr>
        <w:t>当前状态：此科目在报表中单独列示（第7行）。数据存在，但需注意门登特殊条款（如工业管有70欧元上限保护），实际损益可能需调整。</w:t>
      </w:r>
    </w:p>
    <w:p>
      <w:pPr>
        <w:spacing w:before="120" w:after="120" w:line="288" w:lineRule="auto"/>
        <w:ind w:left="0"/>
        <w:jc w:val="center"/>
      </w:pPr>
      <w:r>
        <w:drawing>
          <wp:inline distT="0" distR="0" distB="0" distL="0">
            <wp:extent cx="5257800" cy="29527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952750"/>
                    </a:xfrm>
                    <a:prstGeom prst="rect">
                      <a:avLst/>
                    </a:prstGeom>
                  </pic:spPr>
                </pic:pic>
              </a:graphicData>
            </a:graphic>
          </wp:inline>
        </w:drawing>
      </w:r>
    </w:p>
    <w:p>
      <w:pPr>
        <w:pStyle w:val="2"/>
        <w:spacing w:before="320" w:after="120" w:line="288" w:lineRule="auto"/>
        <w:ind w:left="0"/>
        <w:jc w:val="left"/>
        <w:outlineLvl w:val="1"/>
      </w:pPr>
      <w:bookmarkStart w:name="heading_57" w:id="57"/>
      <w:r>
        <w:rPr>
          <w:rFonts w:eastAsia="等线" w:ascii="Arial" w:cs="Arial" w:hAnsi="Arial"/>
          <w:color w:val="3370ff"/>
          <w:sz w:val="32"/>
        </w:rPr>
        <w:t xml:space="preserve">4.2 </w:t>
      </w:r>
      <w:r>
        <w:rPr>
          <w:rFonts w:eastAsia="等线" w:ascii="Arial" w:cs="Arial" w:hAnsi="Arial"/>
          <w:b w:val="true"/>
          <w:sz w:val="32"/>
        </w:rPr>
        <w:t>由于操作原因漏保并补保产生的损益</w:t>
      </w:r>
      <w:bookmarkEnd w:id="57"/>
    </w:p>
    <w:p>
      <w:pPr>
        <w:numPr>
          <w:numId w:val="160"/>
        </w:numPr>
        <w:spacing w:before="120" w:after="120" w:line="288" w:lineRule="auto"/>
        <w:ind w:left="0"/>
        <w:jc w:val="left"/>
      </w:pPr>
      <w:r>
        <w:rPr>
          <w:rFonts w:eastAsia="等线" w:ascii="Arial" w:cs="Arial" w:hAnsi="Arial"/>
          <w:sz w:val="22"/>
        </w:rPr>
        <w:t>定义：因操作失误（如忘记保值、系统未及时录入）导致风险敞口暴露，后续补保时产生的额外盈亏。</w:t>
      </w:r>
    </w:p>
    <w:p>
      <w:pPr>
        <w:numPr>
          <w:numId w:val="161"/>
        </w:numPr>
        <w:spacing w:before="120" w:after="120" w:line="288" w:lineRule="auto"/>
        <w:ind w:left="0"/>
        <w:jc w:val="left"/>
      </w:pPr>
      <w:r>
        <w:rPr>
          <w:rFonts w:eastAsia="等线" w:ascii="Arial" w:cs="Arial" w:hAnsi="Arial"/>
          <w:sz w:val="22"/>
        </w:rPr>
        <w:t>产生原因：例如，销售点价后未及时在LME做对冲，几天后补保时市场价格已变化，产生盈亏。此类事件通常由人为疏忽或系统延迟引起。</w:t>
      </w:r>
    </w:p>
    <w:p>
      <w:pPr>
        <w:numPr>
          <w:numId w:val="162"/>
        </w:numPr>
        <w:spacing w:before="120" w:after="120" w:line="288" w:lineRule="auto"/>
        <w:ind w:left="0"/>
        <w:jc w:val="left"/>
      </w:pPr>
      <w:r>
        <w:rPr>
          <w:rFonts w:eastAsia="等线" w:ascii="Arial" w:cs="Arial" w:hAnsi="Arial"/>
          <w:sz w:val="22"/>
        </w:rPr>
        <w:t>计算逻辑：</w:t>
      </w:r>
      <w:r>
        <w:rPr>
          <w:rFonts w:eastAsia="Consolas" w:ascii="Consolas" w:cs="Consolas" w:hAnsi="Consolas"/>
          <w:sz w:val="22"/>
          <w:shd w:fill="EFF0F1"/>
        </w:rPr>
        <w:t>损益 = (补保时价格 - 应保时价格) × 数量</w:t>
      </w:r>
      <w:r>
        <w:rPr>
          <w:rFonts w:eastAsia="等线" w:ascii="Arial" w:cs="Arial" w:hAnsi="Arial"/>
          <w:sz w:val="22"/>
        </w:rPr>
        <w:t>。</w:t>
      </w:r>
    </w:p>
    <w:p>
      <w:pPr>
        <w:numPr>
          <w:numId w:val="163"/>
        </w:numPr>
        <w:spacing w:before="120" w:after="120" w:line="288" w:lineRule="auto"/>
        <w:ind w:left="0"/>
        <w:jc w:val="left"/>
      </w:pPr>
      <w:r>
        <w:rPr>
          <w:rFonts w:eastAsia="等线" w:ascii="Arial" w:cs="Arial" w:hAnsi="Arial"/>
          <w:sz w:val="22"/>
        </w:rPr>
        <w:t>数据来源：需从交易记录和点价单中追溯异常对冲。在老系统中，可通过比对点价日期与保值日期发现。</w:t>
      </w:r>
    </w:p>
    <w:p>
      <w:pPr>
        <w:numPr>
          <w:numId w:val="164"/>
        </w:numPr>
        <w:spacing w:before="120" w:after="120" w:line="288" w:lineRule="auto"/>
        <w:ind w:left="0"/>
        <w:jc w:val="left"/>
      </w:pPr>
      <w:r>
        <w:rPr>
          <w:rFonts w:eastAsia="等线" w:ascii="Arial" w:cs="Arial" w:hAnsi="Arial"/>
          <w:sz w:val="22"/>
        </w:rPr>
        <w:t>当前状态：此类事件较少，但金额可能巨大。在黄铜业务中，通常计入“others”并在备注中说明；在门登报表中，单独设“特殊解释”行记录。</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58" w:id="58"/>
      <w:r>
        <w:rPr>
          <w:rFonts w:eastAsia="等线" w:ascii="Arial" w:cs="Arial" w:hAnsi="Arial"/>
          <w:color w:val="3370ff"/>
          <w:sz w:val="36"/>
        </w:rPr>
        <w:t xml:space="preserve">5. </w:t>
      </w:r>
      <w:r>
        <w:rPr>
          <w:rFonts w:eastAsia="等线" w:ascii="Arial" w:cs="Arial" w:hAnsi="Arial"/>
          <w:b w:val="true"/>
          <w:sz w:val="36"/>
        </w:rPr>
        <w:t>Others</w:t>
      </w:r>
      <w:bookmarkEnd w:id="58"/>
    </w:p>
    <w:p>
      <w:pPr>
        <w:spacing w:before="120" w:after="120" w:line="288" w:lineRule="auto"/>
        <w:ind w:left="0"/>
        <w:jc w:val="center"/>
      </w:pPr>
      <w:r>
        <w:drawing>
          <wp:inline distT="0" distR="0" distB="0" distL="0">
            <wp:extent cx="5257800" cy="29527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952750"/>
                    </a:xfrm>
                    <a:prstGeom prst="rect">
                      <a:avLst/>
                    </a:prstGeom>
                  </pic:spPr>
                </pic:pic>
              </a:graphicData>
            </a:graphic>
          </wp:inline>
        </w:drawing>
      </w:r>
    </w:p>
    <w:p>
      <w:pPr>
        <w:pStyle w:val="2"/>
        <w:spacing w:before="320" w:after="120" w:line="288" w:lineRule="auto"/>
        <w:ind w:left="0"/>
        <w:jc w:val="left"/>
        <w:outlineLvl w:val="1"/>
      </w:pPr>
      <w:bookmarkStart w:name="heading_59" w:id="59"/>
      <w:r>
        <w:rPr>
          <w:rFonts w:eastAsia="等线" w:ascii="Arial" w:cs="Arial" w:hAnsi="Arial"/>
          <w:color w:val="3370ff"/>
          <w:sz w:val="32"/>
        </w:rPr>
        <w:t xml:space="preserve">5.1 </w:t>
      </w:r>
      <w:r>
        <w:rPr>
          <w:rFonts w:eastAsia="等线" w:ascii="Arial" w:cs="Arial" w:hAnsi="Arial"/>
          <w:b w:val="true"/>
          <w:sz w:val="32"/>
        </w:rPr>
        <w:t>Stolen Metal 金属偷盗</w:t>
      </w:r>
      <w:bookmarkEnd w:id="59"/>
    </w:p>
    <w:p>
      <w:pPr>
        <w:spacing w:before="120" w:after="120" w:line="288" w:lineRule="auto"/>
        <w:ind w:left="0"/>
        <w:jc w:val="left"/>
      </w:pPr>
      <w:r>
        <w:rPr>
          <w:rFonts w:eastAsia="等线" w:ascii="Arial" w:cs="Arial" w:hAnsi="Arial"/>
          <w:sz w:val="22"/>
        </w:rPr>
        <w:t>手动登记</w:t>
      </w:r>
    </w:p>
    <w:p>
      <w:pPr>
        <w:numPr>
          <w:numId w:val="165"/>
        </w:numPr>
        <w:spacing w:before="120" w:after="120" w:line="288" w:lineRule="auto"/>
        <w:ind w:left="0"/>
        <w:jc w:val="left"/>
      </w:pPr>
      <w:r>
        <w:rPr>
          <w:rFonts w:eastAsia="等线" w:ascii="Arial" w:cs="Arial" w:hAnsi="Arial"/>
          <w:sz w:val="22"/>
        </w:rPr>
        <w:t>定义：因盗窃导致的金属实物损失。</w:t>
      </w:r>
    </w:p>
    <w:p>
      <w:pPr>
        <w:numPr>
          <w:numId w:val="166"/>
        </w:numPr>
        <w:spacing w:before="120" w:after="120" w:line="288" w:lineRule="auto"/>
        <w:ind w:left="0"/>
        <w:jc w:val="left"/>
      </w:pPr>
      <w:r>
        <w:rPr>
          <w:rFonts w:eastAsia="等线" w:ascii="Arial" w:cs="Arial" w:hAnsi="Arial"/>
          <w:sz w:val="22"/>
        </w:rPr>
        <w:t>产生原因：运输途中或仓库内金属被盗，导致库存减少，但系统未及时扣减，最终在盘点时体现为盘亏。</w:t>
      </w:r>
    </w:p>
    <w:p>
      <w:pPr>
        <w:numPr>
          <w:numId w:val="167"/>
        </w:numPr>
        <w:spacing w:before="120" w:after="120" w:line="288" w:lineRule="auto"/>
        <w:ind w:left="0"/>
        <w:jc w:val="left"/>
      </w:pPr>
      <w:r>
        <w:rPr>
          <w:rFonts w:eastAsia="等线" w:ascii="Arial" w:cs="Arial" w:hAnsi="Arial"/>
          <w:sz w:val="22"/>
        </w:rPr>
        <w:t>计算逻辑：盗窃数量 × 当时市价（或月末价）。损失计入金属损益。</w:t>
      </w:r>
    </w:p>
    <w:p>
      <w:pPr>
        <w:numPr>
          <w:numId w:val="168"/>
        </w:numPr>
        <w:spacing w:before="120" w:after="120" w:line="288" w:lineRule="auto"/>
        <w:ind w:left="0"/>
        <w:jc w:val="left"/>
      </w:pPr>
      <w:r>
        <w:rPr>
          <w:rFonts w:eastAsia="等线" w:ascii="Arial" w:cs="Arial" w:hAnsi="Arial"/>
          <w:sz w:val="22"/>
        </w:rPr>
        <w:t>数据来源：报案记录、实物盘点差异分析。需手动追溯。</w:t>
      </w:r>
    </w:p>
    <w:p>
      <w:pPr>
        <w:numPr>
          <w:numId w:val="169"/>
        </w:numPr>
        <w:spacing w:before="120" w:after="120" w:line="288" w:lineRule="auto"/>
        <w:ind w:left="0"/>
        <w:jc w:val="left"/>
      </w:pPr>
      <w:r>
        <w:rPr>
          <w:rFonts w:eastAsia="等线" w:ascii="Arial" w:cs="Arial" w:hAnsi="Arial"/>
          <w:sz w:val="22"/>
        </w:rPr>
        <w:t>当前状态：此类事件偶发（如柏林被盗卡车），在黄铜业务中计入“others”并备注；门登报表中可放入“特殊解释”。</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60" w:id="60"/>
      <w:r>
        <w:rPr>
          <w:rFonts w:eastAsia="等线" w:ascii="Arial" w:cs="Arial" w:hAnsi="Arial"/>
          <w:color w:val="3370ff"/>
          <w:sz w:val="32"/>
        </w:rPr>
        <w:t xml:space="preserve">5.2 </w:t>
      </w:r>
      <w:r>
        <w:rPr>
          <w:rFonts w:eastAsia="等线" w:ascii="Arial" w:cs="Arial" w:hAnsi="Arial"/>
          <w:b w:val="true"/>
          <w:sz w:val="32"/>
        </w:rPr>
        <w:t>非采购销售原因关单</w:t>
      </w:r>
      <w:bookmarkEnd w:id="60"/>
    </w:p>
    <w:p>
      <w:pPr>
        <w:spacing w:before="120" w:after="120" w:line="288" w:lineRule="auto"/>
        <w:ind w:left="0"/>
        <w:jc w:val="left"/>
      </w:pPr>
      <w:r>
        <w:rPr>
          <w:rFonts w:eastAsia="等线" w:ascii="Arial" w:cs="Arial" w:hAnsi="Arial"/>
          <w:sz w:val="22"/>
        </w:rPr>
        <w:t>手动登记</w:t>
      </w:r>
    </w:p>
    <w:p>
      <w:pPr>
        <w:numPr>
          <w:numId w:val="170"/>
        </w:numPr>
        <w:spacing w:before="120" w:after="120" w:line="288" w:lineRule="auto"/>
        <w:ind w:left="0"/>
        <w:jc w:val="left"/>
      </w:pPr>
      <w:r>
        <w:rPr>
          <w:rFonts w:eastAsia="等线" w:ascii="Arial" w:cs="Arial" w:hAnsi="Arial"/>
          <w:sz w:val="22"/>
        </w:rPr>
        <w:t>定义：除采购和销售关单外，其他原因导致的点价单关闭损益，如因质量问题退货、合同取消等。</w:t>
      </w:r>
    </w:p>
    <w:p>
      <w:pPr>
        <w:numPr>
          <w:numId w:val="171"/>
        </w:numPr>
        <w:spacing w:before="120" w:after="120" w:line="288" w:lineRule="auto"/>
        <w:ind w:left="0"/>
        <w:jc w:val="left"/>
      </w:pPr>
      <w:r>
        <w:rPr>
          <w:rFonts w:eastAsia="等线" w:ascii="Arial" w:cs="Arial" w:hAnsi="Arial"/>
          <w:sz w:val="22"/>
        </w:rPr>
        <w:t>产生原因：例如，客户因产品质量问题退货，原销售点价单需关闭，同时可能涉及重新入库和再销售，产生价差。</w:t>
      </w:r>
    </w:p>
    <w:p>
      <w:pPr>
        <w:numPr>
          <w:numId w:val="172"/>
        </w:numPr>
        <w:spacing w:before="120" w:after="120" w:line="288" w:lineRule="auto"/>
        <w:ind w:left="0"/>
        <w:jc w:val="left"/>
      </w:pPr>
      <w:r>
        <w:rPr>
          <w:rFonts w:eastAsia="等线" w:ascii="Arial" w:cs="Arial" w:hAnsi="Arial"/>
          <w:sz w:val="22"/>
        </w:rPr>
        <w:t>计算逻辑：与关单逻辑类似，价差×数量。</w:t>
      </w:r>
    </w:p>
    <w:p>
      <w:pPr>
        <w:numPr>
          <w:numId w:val="173"/>
        </w:numPr>
        <w:spacing w:before="120" w:after="120" w:line="288" w:lineRule="auto"/>
        <w:ind w:left="0"/>
        <w:jc w:val="left"/>
      </w:pPr>
      <w:r>
        <w:rPr>
          <w:rFonts w:eastAsia="等线" w:ascii="Arial" w:cs="Arial" w:hAnsi="Arial"/>
          <w:sz w:val="22"/>
        </w:rPr>
        <w:t>数据来源：退货单、合同取消审批记录。此类业务较少，需手工追踪。</w:t>
      </w:r>
    </w:p>
    <w:p>
      <w:pPr>
        <w:numPr>
          <w:numId w:val="174"/>
        </w:numPr>
        <w:spacing w:before="120" w:after="120" w:line="288" w:lineRule="auto"/>
        <w:ind w:left="0"/>
        <w:jc w:val="left"/>
      </w:pPr>
      <w:r>
        <w:rPr>
          <w:rFonts w:eastAsia="等线" w:ascii="Arial" w:cs="Arial" w:hAnsi="Arial"/>
          <w:sz w:val="22"/>
        </w:rPr>
        <w:t>当前状态：此类损益通常并入“others”或“特殊解释”项。</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61" w:id="61"/>
      <w:r>
        <w:rPr>
          <w:rFonts w:eastAsia="等线" w:ascii="Arial" w:cs="Arial" w:hAnsi="Arial"/>
          <w:color w:val="3370ff"/>
          <w:sz w:val="32"/>
        </w:rPr>
        <w:t xml:space="preserve">5.3 </w:t>
      </w:r>
      <w:r>
        <w:rPr>
          <w:rFonts w:eastAsia="等线" w:ascii="Arial" w:cs="Arial" w:hAnsi="Arial"/>
          <w:b w:val="true"/>
          <w:sz w:val="32"/>
        </w:rPr>
        <w:t>Special explained 特殊解释</w:t>
      </w:r>
      <w:bookmarkEnd w:id="61"/>
    </w:p>
    <w:p>
      <w:pPr>
        <w:spacing w:before="120" w:after="120" w:line="288" w:lineRule="auto"/>
        <w:ind w:left="0"/>
        <w:jc w:val="left"/>
      </w:pPr>
      <w:r>
        <w:rPr>
          <w:rFonts w:eastAsia="等线" w:ascii="Arial" w:cs="Arial" w:hAnsi="Arial"/>
          <w:sz w:val="22"/>
        </w:rPr>
        <w:t>手动登记</w:t>
      </w:r>
    </w:p>
    <w:p>
      <w:pPr>
        <w:numPr>
          <w:numId w:val="175"/>
        </w:numPr>
        <w:spacing w:before="120" w:after="120" w:line="288" w:lineRule="auto"/>
        <w:ind w:left="0"/>
        <w:jc w:val="left"/>
      </w:pPr>
      <w:r>
        <w:rPr>
          <w:rFonts w:eastAsia="等线" w:ascii="Arial" w:cs="Arial" w:hAnsi="Arial"/>
          <w:sz w:val="22"/>
        </w:rPr>
        <w:t>定义：门登报表中专设的一行，用于记录那些可以明确解释、但未在其他常规科目中单独列示的特殊事件损益。</w:t>
      </w:r>
    </w:p>
    <w:p>
      <w:pPr>
        <w:numPr>
          <w:numId w:val="176"/>
        </w:numPr>
        <w:spacing w:before="120" w:after="120" w:line="288" w:lineRule="auto"/>
        <w:ind w:left="0"/>
        <w:jc w:val="left"/>
      </w:pPr>
      <w:r>
        <w:rPr>
          <w:rFonts w:eastAsia="等线" w:ascii="Arial" w:cs="Arial" w:hAnsi="Arial"/>
          <w:sz w:val="22"/>
        </w:rPr>
        <w:t>包含内容：金属偷盗、漏保补保、采购关单、重大操作失误、一次性大额盈亏等。</w:t>
      </w:r>
    </w:p>
    <w:p>
      <w:pPr>
        <w:numPr>
          <w:numId w:val="177"/>
        </w:numPr>
        <w:spacing w:before="120" w:after="120" w:line="288" w:lineRule="auto"/>
        <w:ind w:left="0"/>
        <w:jc w:val="left"/>
      </w:pPr>
      <w:r>
        <w:rPr>
          <w:rFonts w:eastAsia="等线" w:ascii="Arial" w:cs="Arial" w:hAnsi="Arial"/>
          <w:sz w:val="22"/>
        </w:rPr>
        <w:t>作用：通过单独列示，减少“others”的金额，提高利润分析透明度。</w:t>
      </w:r>
    </w:p>
    <w:p>
      <w:pPr>
        <w:numPr>
          <w:numId w:val="178"/>
        </w:numPr>
        <w:spacing w:before="120" w:after="120" w:line="288" w:lineRule="auto"/>
        <w:ind w:left="0"/>
        <w:jc w:val="left"/>
      </w:pPr>
      <w:r>
        <w:rPr>
          <w:rFonts w:eastAsia="等线" w:ascii="Arial" w:cs="Arial" w:hAnsi="Arial"/>
          <w:sz w:val="22"/>
        </w:rPr>
        <w:t>数据来源：手工记录，由金属控制部门在每月报表中根据已知事件填入。</w:t>
      </w:r>
    </w:p>
    <w:p>
      <w:pPr>
        <w:numPr>
          <w:numId w:val="179"/>
        </w:numPr>
        <w:spacing w:before="120" w:after="120" w:line="288" w:lineRule="auto"/>
        <w:ind w:left="0"/>
        <w:jc w:val="left"/>
      </w:pPr>
      <w:r>
        <w:rPr>
          <w:rFonts w:eastAsia="等线" w:ascii="Arial" w:cs="Arial" w:hAnsi="Arial"/>
          <w:sz w:val="22"/>
        </w:rPr>
        <w:t>当前状态：门登2023年报表中有此列，但新系统上线后，由于数据缺失，目前无法准确填列。黄铜业务未设此列，特殊事件仅在“others”后加备注。</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62" w:id="62"/>
      <w:r>
        <w:rPr>
          <w:rFonts w:eastAsia="等线" w:ascii="Arial" w:cs="Arial" w:hAnsi="Arial"/>
          <w:color w:val="3370ff"/>
          <w:sz w:val="32"/>
        </w:rPr>
        <w:t xml:space="preserve">5.4 </w:t>
      </w:r>
      <w:r>
        <w:rPr>
          <w:rFonts w:eastAsia="等线" w:ascii="Arial" w:cs="Arial" w:hAnsi="Arial"/>
          <w:b w:val="true"/>
          <w:sz w:val="32"/>
        </w:rPr>
        <w:t>其他（无法解释）</w:t>
      </w:r>
      <w:bookmarkEnd w:id="62"/>
    </w:p>
    <w:p>
      <w:pPr>
        <w:spacing w:before="120" w:after="120" w:line="288" w:lineRule="auto"/>
        <w:ind w:left="0"/>
        <w:jc w:val="left"/>
      </w:pPr>
      <w:r>
        <w:rPr>
          <w:rFonts w:eastAsia="等线" w:ascii="Arial" w:cs="Arial" w:hAnsi="Arial"/>
          <w:sz w:val="22"/>
        </w:rPr>
        <w:t>剩余项目</w:t>
      </w:r>
    </w:p>
    <w:p>
      <w:pPr>
        <w:spacing w:before="120" w:after="120" w:line="288" w:lineRule="auto"/>
        <w:ind w:left="0"/>
        <w:jc w:val="left"/>
      </w:pP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21398">
    <w:lvl>
      <w:numFmt w:val="bullet"/>
      <w:suff w:val="tab"/>
      <w:lvlText w:val="•"/>
      <w:rPr>
        <w:color w:val="3370ff"/>
      </w:rPr>
    </w:lvl>
  </w:abstractNum>
  <w:abstractNum w:abstractNumId="221399">
    <w:lvl>
      <w:numFmt w:val="bullet"/>
      <w:suff w:val="tab"/>
      <w:lvlText w:val="￮"/>
      <w:rPr>
        <w:color w:val="3370ff"/>
      </w:rPr>
    </w:lvl>
  </w:abstractNum>
  <w:abstractNum w:abstractNumId="221400">
    <w:lvl>
      <w:numFmt w:val="bullet"/>
      <w:suff w:val="tab"/>
      <w:lvlText w:val="▪"/>
      <w:rPr>
        <w:color w:val="3370ff"/>
        <w:sz w:val="11"/>
      </w:rPr>
    </w:lvl>
  </w:abstractNum>
  <w:abstractNum w:abstractNumId="221401">
    <w:lvl>
      <w:numFmt w:val="bullet"/>
      <w:suff w:val="tab"/>
      <w:lvlText w:val="▪"/>
      <w:rPr>
        <w:color w:val="3370ff"/>
        <w:sz w:val="11"/>
      </w:rPr>
    </w:lvl>
  </w:abstractNum>
  <w:abstractNum w:abstractNumId="221402">
    <w:lvl>
      <w:numFmt w:val="bullet"/>
      <w:suff w:val="tab"/>
      <w:lvlText w:val="▪"/>
      <w:rPr>
        <w:color w:val="3370ff"/>
        <w:sz w:val="11"/>
      </w:rPr>
    </w:lvl>
  </w:abstractNum>
  <w:abstractNum w:abstractNumId="221403">
    <w:lvl>
      <w:numFmt w:val="bullet"/>
      <w:suff w:val="tab"/>
      <w:lvlText w:val="▪"/>
      <w:rPr>
        <w:color w:val="3370ff"/>
        <w:sz w:val="11"/>
      </w:rPr>
    </w:lvl>
  </w:abstractNum>
  <w:abstractNum w:abstractNumId="221404">
    <w:lvl>
      <w:numFmt w:val="bullet"/>
      <w:suff w:val="tab"/>
      <w:lvlText w:val="▪"/>
      <w:rPr>
        <w:color w:val="3370ff"/>
        <w:sz w:val="11"/>
      </w:rPr>
    </w:lvl>
  </w:abstractNum>
  <w:abstractNum w:abstractNumId="221405">
    <w:lvl>
      <w:numFmt w:val="bullet"/>
      <w:suff w:val="tab"/>
      <w:lvlText w:val="•"/>
      <w:rPr>
        <w:color w:val="3370ff"/>
      </w:rPr>
    </w:lvl>
  </w:abstractNum>
  <w:abstractNum w:abstractNumId="221406">
    <w:lvl>
      <w:numFmt w:val="bullet"/>
      <w:suff w:val="tab"/>
      <w:lvlText w:val="•"/>
      <w:rPr>
        <w:color w:val="3370ff"/>
      </w:rPr>
    </w:lvl>
  </w:abstractNum>
  <w:abstractNum w:abstractNumId="221407">
    <w:lvl>
      <w:numFmt w:val="bullet"/>
      <w:suff w:val="tab"/>
      <w:lvlText w:val="•"/>
      <w:rPr>
        <w:color w:val="3370ff"/>
      </w:rPr>
    </w:lvl>
  </w:abstractNum>
  <w:abstractNum w:abstractNumId="221408">
    <w:lvl>
      <w:numFmt w:val="bullet"/>
      <w:suff w:val="tab"/>
      <w:lvlText w:val="•"/>
      <w:rPr>
        <w:color w:val="3370ff"/>
      </w:rPr>
    </w:lvl>
  </w:abstractNum>
  <w:abstractNum w:abstractNumId="221409">
    <w:lvl>
      <w:numFmt w:val="bullet"/>
      <w:suff w:val="tab"/>
      <w:lvlText w:val="￮"/>
      <w:rPr>
        <w:color w:val="3370ff"/>
      </w:rPr>
    </w:lvl>
  </w:abstractNum>
  <w:abstractNum w:abstractNumId="221410">
    <w:lvl>
      <w:numFmt w:val="bullet"/>
      <w:suff w:val="tab"/>
      <w:lvlText w:val="￮"/>
      <w:rPr>
        <w:color w:val="3370ff"/>
      </w:rPr>
    </w:lvl>
  </w:abstractNum>
  <w:abstractNum w:abstractNumId="221411">
    <w:lvl>
      <w:numFmt w:val="bullet"/>
      <w:suff w:val="tab"/>
      <w:lvlText w:val="•"/>
      <w:rPr>
        <w:color w:val="3370ff"/>
      </w:rPr>
    </w:lvl>
  </w:abstractNum>
  <w:abstractNum w:abstractNumId="221412">
    <w:lvl>
      <w:numFmt w:val="bullet"/>
      <w:suff w:val="tab"/>
      <w:lvlText w:val="•"/>
      <w:rPr>
        <w:color w:val="3370ff"/>
      </w:rPr>
    </w:lvl>
  </w:abstractNum>
  <w:abstractNum w:abstractNumId="221413">
    <w:lvl>
      <w:numFmt w:val="bullet"/>
      <w:suff w:val="tab"/>
      <w:lvlText w:val="•"/>
      <w:rPr>
        <w:color w:val="3370ff"/>
      </w:rPr>
    </w:lvl>
  </w:abstractNum>
  <w:abstractNum w:abstractNumId="221414">
    <w:lvl>
      <w:numFmt w:val="bullet"/>
      <w:suff w:val="tab"/>
      <w:lvlText w:val="•"/>
      <w:rPr>
        <w:color w:val="3370ff"/>
      </w:rPr>
    </w:lvl>
  </w:abstractNum>
  <w:abstractNum w:abstractNumId="221415">
    <w:lvl>
      <w:numFmt w:val="bullet"/>
      <w:suff w:val="tab"/>
      <w:lvlText w:val="•"/>
      <w:rPr>
        <w:color w:val="3370ff"/>
      </w:rPr>
    </w:lvl>
  </w:abstractNum>
  <w:abstractNum w:abstractNumId="221416">
    <w:lvl>
      <w:numFmt w:val="bullet"/>
      <w:suff w:val="tab"/>
      <w:lvlText w:val="•"/>
      <w:rPr>
        <w:color w:val="3370ff"/>
      </w:rPr>
    </w:lvl>
  </w:abstractNum>
  <w:abstractNum w:abstractNumId="221417">
    <w:lvl>
      <w:numFmt w:val="bullet"/>
      <w:suff w:val="tab"/>
      <w:lvlText w:val="•"/>
      <w:rPr>
        <w:color w:val="3370ff"/>
      </w:rPr>
    </w:lvl>
  </w:abstractNum>
  <w:abstractNum w:abstractNumId="221418">
    <w:lvl>
      <w:numFmt w:val="bullet"/>
      <w:suff w:val="tab"/>
      <w:lvlText w:val="•"/>
      <w:rPr>
        <w:color w:val="3370ff"/>
      </w:rPr>
    </w:lvl>
  </w:abstractNum>
  <w:abstractNum w:abstractNumId="221419">
    <w:lvl>
      <w:numFmt w:val="bullet"/>
      <w:suff w:val="tab"/>
      <w:lvlText w:val="•"/>
      <w:rPr>
        <w:color w:val="3370ff"/>
      </w:rPr>
    </w:lvl>
  </w:abstractNum>
  <w:abstractNum w:abstractNumId="221420">
    <w:lvl>
      <w:numFmt w:val="bullet"/>
      <w:suff w:val="tab"/>
      <w:lvlText w:val="•"/>
      <w:rPr>
        <w:color w:val="3370ff"/>
      </w:rPr>
    </w:lvl>
  </w:abstractNum>
  <w:abstractNum w:abstractNumId="221421">
    <w:lvl>
      <w:numFmt w:val="bullet"/>
      <w:suff w:val="tab"/>
      <w:lvlText w:val="•"/>
      <w:rPr>
        <w:color w:val="3370ff"/>
      </w:rPr>
    </w:lvl>
  </w:abstractNum>
  <w:abstractNum w:abstractNumId="221422">
    <w:lvl>
      <w:numFmt w:val="bullet"/>
      <w:suff w:val="tab"/>
      <w:lvlText w:val="•"/>
      <w:rPr>
        <w:color w:val="3370ff"/>
      </w:rPr>
    </w:lvl>
  </w:abstractNum>
  <w:abstractNum w:abstractNumId="221423">
    <w:lvl>
      <w:numFmt w:val="bullet"/>
      <w:suff w:val="tab"/>
      <w:lvlText w:val="•"/>
      <w:rPr>
        <w:color w:val="3370ff"/>
      </w:rPr>
    </w:lvl>
  </w:abstractNum>
  <w:abstractNum w:abstractNumId="221424">
    <w:lvl>
      <w:numFmt w:val="bullet"/>
      <w:suff w:val="tab"/>
      <w:lvlText w:val="•"/>
      <w:rPr>
        <w:color w:val="3370ff"/>
      </w:rPr>
    </w:lvl>
  </w:abstractNum>
  <w:abstractNum w:abstractNumId="221425">
    <w:lvl>
      <w:numFmt w:val="bullet"/>
      <w:suff w:val="tab"/>
      <w:lvlText w:val="￮"/>
      <w:rPr>
        <w:color w:val="3370ff"/>
      </w:rPr>
    </w:lvl>
  </w:abstractNum>
  <w:abstractNum w:abstractNumId="221426">
    <w:lvl>
      <w:numFmt w:val="bullet"/>
      <w:suff w:val="tab"/>
      <w:lvlText w:val="￮"/>
      <w:rPr>
        <w:color w:val="3370ff"/>
      </w:rPr>
    </w:lvl>
  </w:abstractNum>
  <w:abstractNum w:abstractNumId="221427">
    <w:lvl>
      <w:numFmt w:val="bullet"/>
      <w:suff w:val="tab"/>
      <w:lvlText w:val="•"/>
      <w:rPr>
        <w:color w:val="3370ff"/>
      </w:rPr>
    </w:lvl>
  </w:abstractNum>
  <w:abstractNum w:abstractNumId="221428">
    <w:lvl>
      <w:numFmt w:val="bullet"/>
      <w:suff w:val="tab"/>
      <w:lvlText w:val="•"/>
      <w:rPr>
        <w:color w:val="3370ff"/>
      </w:rPr>
    </w:lvl>
  </w:abstractNum>
  <w:abstractNum w:abstractNumId="221429">
    <w:lvl>
      <w:numFmt w:val="bullet"/>
      <w:suff w:val="tab"/>
      <w:lvlText w:val="￮"/>
      <w:rPr>
        <w:color w:val="3370ff"/>
      </w:rPr>
    </w:lvl>
  </w:abstractNum>
  <w:abstractNum w:abstractNumId="221430">
    <w:lvl>
      <w:numFmt w:val="bullet"/>
      <w:suff w:val="tab"/>
      <w:lvlText w:val="￮"/>
      <w:rPr>
        <w:color w:val="3370ff"/>
      </w:rPr>
    </w:lvl>
  </w:abstractNum>
  <w:abstractNum w:abstractNumId="221431">
    <w:lvl>
      <w:numFmt w:val="bullet"/>
      <w:suff w:val="tab"/>
      <w:lvlText w:val="•"/>
      <w:rPr>
        <w:color w:val="3370ff"/>
      </w:rPr>
    </w:lvl>
  </w:abstractNum>
  <w:abstractNum w:abstractNumId="221432">
    <w:lvl>
      <w:numFmt w:val="bullet"/>
      <w:suff w:val="tab"/>
      <w:lvlText w:val="•"/>
      <w:rPr>
        <w:color w:val="3370ff"/>
      </w:rPr>
    </w:lvl>
  </w:abstractNum>
  <w:abstractNum w:abstractNumId="221433">
    <w:lvl>
      <w:numFmt w:val="bullet"/>
      <w:suff w:val="tab"/>
      <w:lvlText w:val="•"/>
      <w:rPr>
        <w:color w:val="3370ff"/>
      </w:rPr>
    </w:lvl>
  </w:abstractNum>
  <w:abstractNum w:abstractNumId="221434">
    <w:lvl>
      <w:numFmt w:val="bullet"/>
      <w:suff w:val="tab"/>
      <w:lvlText w:val="•"/>
      <w:rPr>
        <w:color w:val="3370ff"/>
      </w:rPr>
    </w:lvl>
  </w:abstractNum>
  <w:abstractNum w:abstractNumId="221435">
    <w:lvl>
      <w:numFmt w:val="bullet"/>
      <w:suff w:val="tab"/>
      <w:lvlText w:val="￮"/>
      <w:rPr>
        <w:color w:val="3370ff"/>
      </w:rPr>
    </w:lvl>
  </w:abstractNum>
  <w:abstractNum w:abstractNumId="221436">
    <w:lvl>
      <w:numFmt w:val="bullet"/>
      <w:suff w:val="tab"/>
      <w:lvlText w:val="￮"/>
      <w:rPr>
        <w:color w:val="3370ff"/>
      </w:rPr>
    </w:lvl>
  </w:abstractNum>
  <w:abstractNum w:abstractNumId="221437">
    <w:lvl>
      <w:numFmt w:val="bullet"/>
      <w:suff w:val="tab"/>
      <w:lvlText w:val="￮"/>
      <w:rPr>
        <w:color w:val="3370ff"/>
      </w:rPr>
    </w:lvl>
  </w:abstractNum>
  <w:abstractNum w:abstractNumId="221438">
    <w:lvl>
      <w:numFmt w:val="bullet"/>
      <w:suff w:val="tab"/>
      <w:lvlText w:val="•"/>
      <w:rPr>
        <w:color w:val="3370ff"/>
      </w:rPr>
    </w:lvl>
  </w:abstractNum>
  <w:abstractNum w:abstractNumId="221439">
    <w:lvl>
      <w:numFmt w:val="bullet"/>
      <w:suff w:val="tab"/>
      <w:lvlText w:val="￮"/>
      <w:rPr>
        <w:color w:val="3370ff"/>
      </w:rPr>
    </w:lvl>
  </w:abstractNum>
  <w:abstractNum w:abstractNumId="221440">
    <w:lvl>
      <w:numFmt w:val="bullet"/>
      <w:suff w:val="tab"/>
      <w:lvlText w:val="•"/>
      <w:rPr>
        <w:color w:val="3370ff"/>
      </w:rPr>
    </w:lvl>
  </w:abstractNum>
  <w:abstractNum w:abstractNumId="221441">
    <w:lvl>
      <w:numFmt w:val="bullet"/>
      <w:suff w:val="tab"/>
      <w:lvlText w:val="￮"/>
      <w:rPr>
        <w:color w:val="3370ff"/>
      </w:rPr>
    </w:lvl>
  </w:abstractNum>
  <w:abstractNum w:abstractNumId="221442">
    <w:lvl>
      <w:numFmt w:val="bullet"/>
      <w:suff w:val="tab"/>
      <w:lvlText w:val="￮"/>
      <w:rPr>
        <w:color w:val="3370ff"/>
      </w:rPr>
    </w:lvl>
  </w:abstractNum>
  <w:abstractNum w:abstractNumId="221443">
    <w:lvl>
      <w:numFmt w:val="bullet"/>
      <w:suff w:val="tab"/>
      <w:lvlText w:val="￮"/>
      <w:rPr>
        <w:color w:val="3370ff"/>
      </w:rPr>
    </w:lvl>
  </w:abstractNum>
  <w:abstractNum w:abstractNumId="221444">
    <w:lvl>
      <w:numFmt w:val="bullet"/>
      <w:suff w:val="tab"/>
      <w:lvlText w:val="•"/>
      <w:rPr>
        <w:color w:val="3370ff"/>
      </w:rPr>
    </w:lvl>
  </w:abstractNum>
  <w:abstractNum w:abstractNumId="221445">
    <w:lvl>
      <w:numFmt w:val="bullet"/>
      <w:suff w:val="tab"/>
      <w:lvlText w:val="•"/>
      <w:rPr>
        <w:color w:val="3370ff"/>
      </w:rPr>
    </w:lvl>
  </w:abstractNum>
  <w:abstractNum w:abstractNumId="221446">
    <w:lvl>
      <w:numFmt w:val="bullet"/>
      <w:suff w:val="tab"/>
      <w:lvlText w:val="•"/>
      <w:rPr>
        <w:color w:val="3370ff"/>
      </w:rPr>
    </w:lvl>
  </w:abstractNum>
  <w:abstractNum w:abstractNumId="221447">
    <w:lvl>
      <w:numFmt w:val="bullet"/>
      <w:suff w:val="tab"/>
      <w:lvlText w:val="￮"/>
      <w:rPr>
        <w:color w:val="3370ff"/>
      </w:rPr>
    </w:lvl>
  </w:abstractNum>
  <w:abstractNum w:abstractNumId="221448">
    <w:lvl>
      <w:numFmt w:val="bullet"/>
      <w:suff w:val="tab"/>
      <w:lvlText w:val="￮"/>
      <w:rPr>
        <w:color w:val="3370ff"/>
      </w:rPr>
    </w:lvl>
  </w:abstractNum>
  <w:abstractNum w:abstractNumId="221449">
    <w:lvl>
      <w:start w:val="1"/>
      <w:numFmt w:val="lowerRoman"/>
      <w:suff w:val="tab"/>
      <w:lvlText w:val="%1."/>
      <w:rPr>
        <w:color w:val="3370ff"/>
      </w:rPr>
    </w:lvl>
  </w:abstractNum>
  <w:abstractNum w:abstractNumId="221450">
    <w:lvl>
      <w:start w:val="2"/>
      <w:numFmt w:val="lowerRoman"/>
      <w:suff w:val="tab"/>
      <w:lvlText w:val="%1."/>
      <w:rPr>
        <w:color w:val="3370ff"/>
      </w:rPr>
    </w:lvl>
  </w:abstractNum>
  <w:abstractNum w:abstractNumId="221451">
    <w:lvl>
      <w:numFmt w:val="bullet"/>
      <w:suff w:val="tab"/>
      <w:lvlText w:val="￮"/>
      <w:rPr>
        <w:color w:val="3370ff"/>
      </w:rPr>
    </w:lvl>
  </w:abstractNum>
  <w:abstractNum w:abstractNumId="221452">
    <w:lvl>
      <w:numFmt w:val="bullet"/>
      <w:suff w:val="tab"/>
      <w:lvlText w:val="￮"/>
      <w:rPr>
        <w:color w:val="3370ff"/>
      </w:rPr>
    </w:lvl>
  </w:abstractNum>
  <w:abstractNum w:abstractNumId="221453">
    <w:lvl>
      <w:numFmt w:val="bullet"/>
      <w:suff w:val="tab"/>
      <w:lvlText w:val="•"/>
      <w:rPr>
        <w:color w:val="3370ff"/>
      </w:rPr>
    </w:lvl>
  </w:abstractNum>
  <w:abstractNum w:abstractNumId="221454">
    <w:lvl>
      <w:numFmt w:val="bullet"/>
      <w:suff w:val="tab"/>
      <w:lvlText w:val="￮"/>
      <w:rPr>
        <w:color w:val="3370ff"/>
      </w:rPr>
    </w:lvl>
  </w:abstractNum>
  <w:abstractNum w:abstractNumId="221455">
    <w:lvl>
      <w:numFmt w:val="bullet"/>
      <w:suff w:val="tab"/>
      <w:lvlText w:val="￮"/>
      <w:rPr>
        <w:color w:val="3370ff"/>
      </w:rPr>
    </w:lvl>
  </w:abstractNum>
  <w:abstractNum w:abstractNumId="221456">
    <w:lvl>
      <w:numFmt w:val="bullet"/>
      <w:suff w:val="tab"/>
      <w:lvlText w:val="•"/>
      <w:rPr>
        <w:color w:val="3370ff"/>
      </w:rPr>
    </w:lvl>
  </w:abstractNum>
  <w:abstractNum w:abstractNumId="221457">
    <w:lvl>
      <w:numFmt w:val="bullet"/>
      <w:suff w:val="tab"/>
      <w:lvlText w:val="￮"/>
      <w:rPr>
        <w:color w:val="3370ff"/>
      </w:rPr>
    </w:lvl>
  </w:abstractNum>
  <w:abstractNum w:abstractNumId="221458">
    <w:lvl>
      <w:numFmt w:val="bullet"/>
      <w:suff w:val="tab"/>
      <w:lvlText w:val="▪"/>
      <w:rPr>
        <w:color w:val="3370ff"/>
        <w:sz w:val="11"/>
      </w:rPr>
    </w:lvl>
  </w:abstractNum>
  <w:abstractNum w:abstractNumId="221459">
    <w:lvl>
      <w:numFmt w:val="bullet"/>
      <w:suff w:val="tab"/>
      <w:lvlText w:val="▪"/>
      <w:rPr>
        <w:color w:val="3370ff"/>
        <w:sz w:val="11"/>
      </w:rPr>
    </w:lvl>
  </w:abstractNum>
  <w:abstractNum w:abstractNumId="221460">
    <w:lvl>
      <w:numFmt w:val="bullet"/>
      <w:suff w:val="tab"/>
      <w:lvlText w:val="•"/>
      <w:rPr>
        <w:color w:val="3370ff"/>
      </w:rPr>
    </w:lvl>
  </w:abstractNum>
  <w:abstractNum w:abstractNumId="221461">
    <w:lvl>
      <w:numFmt w:val="bullet"/>
      <w:suff w:val="tab"/>
      <w:lvlText w:val="￮"/>
      <w:rPr>
        <w:color w:val="3370ff"/>
      </w:rPr>
    </w:lvl>
  </w:abstractNum>
  <w:abstractNum w:abstractNumId="221462">
    <w:lvl>
      <w:numFmt w:val="bullet"/>
      <w:suff w:val="tab"/>
      <w:lvlText w:val="￮"/>
      <w:rPr>
        <w:color w:val="3370ff"/>
      </w:rPr>
    </w:lvl>
  </w:abstractNum>
  <w:abstractNum w:abstractNumId="221463">
    <w:lvl>
      <w:numFmt w:val="bullet"/>
      <w:suff w:val="tab"/>
      <w:lvlText w:val="•"/>
      <w:rPr>
        <w:color w:val="3370ff"/>
      </w:rPr>
    </w:lvl>
  </w:abstractNum>
  <w:abstractNum w:abstractNumId="221464">
    <w:lvl>
      <w:numFmt w:val="bullet"/>
      <w:suff w:val="tab"/>
      <w:lvlText w:val="•"/>
      <w:rPr>
        <w:color w:val="3370ff"/>
      </w:rPr>
    </w:lvl>
  </w:abstractNum>
  <w:abstractNum w:abstractNumId="221465">
    <w:lvl>
      <w:start w:val="1"/>
      <w:numFmt w:val="lowerLetter"/>
      <w:suff w:val="tab"/>
      <w:lvlText w:val="%1."/>
      <w:rPr>
        <w:color w:val="3370ff"/>
      </w:rPr>
    </w:lvl>
  </w:abstractNum>
  <w:abstractNum w:abstractNumId="221466">
    <w:lvl>
      <w:start w:val="2"/>
      <w:numFmt w:val="lowerLetter"/>
      <w:suff w:val="tab"/>
      <w:lvlText w:val="%1."/>
      <w:rPr>
        <w:color w:val="3370ff"/>
      </w:rPr>
    </w:lvl>
  </w:abstractNum>
  <w:abstractNum w:abstractNumId="221467">
    <w:lvl>
      <w:start w:val="3"/>
      <w:numFmt w:val="lowerLetter"/>
      <w:suff w:val="tab"/>
      <w:lvlText w:val="%1."/>
      <w:rPr>
        <w:color w:val="3370ff"/>
      </w:rPr>
    </w:lvl>
  </w:abstractNum>
  <w:abstractNum w:abstractNumId="221468">
    <w:lvl>
      <w:numFmt w:val="bullet"/>
      <w:suff w:val="tab"/>
      <w:lvlText w:val="•"/>
      <w:rPr>
        <w:color w:val="3370ff"/>
      </w:rPr>
    </w:lvl>
  </w:abstractNum>
  <w:abstractNum w:abstractNumId="221469">
    <w:lvl>
      <w:numFmt w:val="bullet"/>
      <w:suff w:val="tab"/>
      <w:lvlText w:val="•"/>
      <w:rPr>
        <w:color w:val="3370ff"/>
      </w:rPr>
    </w:lvl>
  </w:abstractNum>
  <w:abstractNum w:abstractNumId="221470">
    <w:lvl>
      <w:numFmt w:val="bullet"/>
      <w:suff w:val="tab"/>
      <w:lvlText w:val="•"/>
      <w:rPr>
        <w:color w:val="3370ff"/>
      </w:rPr>
    </w:lvl>
  </w:abstractNum>
  <w:abstractNum w:abstractNumId="221471">
    <w:lvl>
      <w:numFmt w:val="bullet"/>
      <w:suff w:val="tab"/>
      <w:lvlText w:val="￮"/>
      <w:rPr>
        <w:color w:val="3370ff"/>
      </w:rPr>
    </w:lvl>
  </w:abstractNum>
  <w:abstractNum w:abstractNumId="221472">
    <w:lvl>
      <w:numFmt w:val="bullet"/>
      <w:suff w:val="tab"/>
      <w:lvlText w:val="￮"/>
      <w:rPr>
        <w:color w:val="3370ff"/>
      </w:rPr>
    </w:lvl>
  </w:abstractNum>
  <w:abstractNum w:abstractNumId="221473">
    <w:lvl>
      <w:numFmt w:val="bullet"/>
      <w:suff w:val="tab"/>
      <w:lvlText w:val="￮"/>
      <w:rPr>
        <w:color w:val="3370ff"/>
      </w:rPr>
    </w:lvl>
  </w:abstractNum>
  <w:abstractNum w:abstractNumId="221474">
    <w:lvl>
      <w:numFmt w:val="bullet"/>
      <w:suff w:val="tab"/>
      <w:lvlText w:val="￮"/>
      <w:rPr>
        <w:color w:val="3370ff"/>
      </w:rPr>
    </w:lvl>
  </w:abstractNum>
  <w:abstractNum w:abstractNumId="221475">
    <w:lvl>
      <w:numFmt w:val="bullet"/>
      <w:suff w:val="tab"/>
      <w:lvlText w:val="•"/>
      <w:rPr>
        <w:color w:val="3370ff"/>
      </w:rPr>
    </w:lvl>
  </w:abstractNum>
  <w:abstractNum w:abstractNumId="221476">
    <w:lvl>
      <w:numFmt w:val="bullet"/>
      <w:suff w:val="tab"/>
      <w:lvlText w:val="•"/>
      <w:rPr>
        <w:color w:val="3370ff"/>
      </w:rPr>
    </w:lvl>
  </w:abstractNum>
  <w:abstractNum w:abstractNumId="221477">
    <w:lvl>
      <w:numFmt w:val="bullet"/>
      <w:suff w:val="tab"/>
      <w:lvlText w:val="•"/>
      <w:rPr>
        <w:color w:val="3370ff"/>
      </w:rPr>
    </w:lvl>
  </w:abstractNum>
  <w:abstractNum w:abstractNumId="221478">
    <w:lvl>
      <w:numFmt w:val="bullet"/>
      <w:suff w:val="tab"/>
      <w:lvlText w:val="•"/>
      <w:rPr>
        <w:color w:val="3370ff"/>
      </w:rPr>
    </w:lvl>
  </w:abstractNum>
  <w:abstractNum w:abstractNumId="221479">
    <w:lvl>
      <w:numFmt w:val="bullet"/>
      <w:suff w:val="tab"/>
      <w:lvlText w:val="•"/>
      <w:rPr>
        <w:color w:val="3370ff"/>
      </w:rPr>
    </w:lvl>
  </w:abstractNum>
  <w:abstractNum w:abstractNumId="221480">
    <w:lvl>
      <w:numFmt w:val="bullet"/>
      <w:suff w:val="tab"/>
      <w:lvlText w:val="•"/>
      <w:rPr>
        <w:color w:val="3370ff"/>
      </w:rPr>
    </w:lvl>
  </w:abstractNum>
  <w:abstractNum w:abstractNumId="221481">
    <w:lvl>
      <w:numFmt w:val="bullet"/>
      <w:suff w:val="tab"/>
      <w:lvlText w:val="•"/>
      <w:rPr>
        <w:color w:val="3370ff"/>
      </w:rPr>
    </w:lvl>
  </w:abstractNum>
  <w:abstractNum w:abstractNumId="221482">
    <w:lvl>
      <w:numFmt w:val="bullet"/>
      <w:suff w:val="tab"/>
      <w:lvlText w:val="•"/>
      <w:rPr>
        <w:color w:val="3370ff"/>
      </w:rPr>
    </w:lvl>
  </w:abstractNum>
  <w:abstractNum w:abstractNumId="221483">
    <w:lvl>
      <w:numFmt w:val="bullet"/>
      <w:suff w:val="tab"/>
      <w:lvlText w:val="•"/>
      <w:rPr>
        <w:color w:val="3370ff"/>
      </w:rPr>
    </w:lvl>
  </w:abstractNum>
  <w:abstractNum w:abstractNumId="221484">
    <w:lvl>
      <w:start w:val="1"/>
      <w:numFmt w:val="lowerLetter"/>
      <w:suff w:val="tab"/>
      <w:lvlText w:val="%1."/>
      <w:rPr>
        <w:color w:val="3370ff"/>
      </w:rPr>
    </w:lvl>
  </w:abstractNum>
  <w:abstractNum w:abstractNumId="221485">
    <w:lvl>
      <w:start w:val="2"/>
      <w:numFmt w:val="lowerLetter"/>
      <w:suff w:val="tab"/>
      <w:lvlText w:val="%1."/>
      <w:rPr>
        <w:color w:val="3370ff"/>
      </w:rPr>
    </w:lvl>
  </w:abstractNum>
  <w:abstractNum w:abstractNumId="221486">
    <w:lvl>
      <w:start w:val="3"/>
      <w:numFmt w:val="lowerLetter"/>
      <w:suff w:val="tab"/>
      <w:lvlText w:val="%1."/>
      <w:rPr>
        <w:color w:val="3370ff"/>
      </w:rPr>
    </w:lvl>
  </w:abstractNum>
  <w:abstractNum w:abstractNumId="221487">
    <w:lvl>
      <w:start w:val="4"/>
      <w:numFmt w:val="lowerLetter"/>
      <w:suff w:val="tab"/>
      <w:lvlText w:val="%1."/>
      <w:rPr>
        <w:color w:val="3370ff"/>
      </w:rPr>
    </w:lvl>
  </w:abstractNum>
  <w:abstractNum w:abstractNumId="221488">
    <w:lvl>
      <w:start w:val="1"/>
      <w:numFmt w:val="decimal"/>
      <w:suff w:val="tab"/>
      <w:lvlText w:val="%1."/>
      <w:rPr>
        <w:color w:val="3370ff"/>
      </w:rPr>
    </w:lvl>
  </w:abstractNum>
  <w:abstractNum w:abstractNumId="221489">
    <w:lvl>
      <w:start w:val="2"/>
      <w:numFmt w:val="decimal"/>
      <w:suff w:val="tab"/>
      <w:lvlText w:val="%1."/>
      <w:rPr>
        <w:color w:val="3370ff"/>
      </w:rPr>
    </w:lvl>
  </w:abstractNum>
  <w:abstractNum w:abstractNumId="221490">
    <w:lvl>
      <w:start w:val="3"/>
      <w:numFmt w:val="decimal"/>
      <w:suff w:val="tab"/>
      <w:lvlText w:val="%1."/>
      <w:rPr>
        <w:color w:val="3370ff"/>
      </w:rPr>
    </w:lvl>
  </w:abstractNum>
  <w:abstractNum w:abstractNumId="221491">
    <w:lvl>
      <w:start w:val="4"/>
      <w:numFmt w:val="decimal"/>
      <w:suff w:val="tab"/>
      <w:lvlText w:val="%1."/>
      <w:rPr>
        <w:color w:val="3370ff"/>
      </w:rPr>
    </w:lvl>
  </w:abstractNum>
  <w:abstractNum w:abstractNumId="221492">
    <w:lvl>
      <w:numFmt w:val="bullet"/>
      <w:suff w:val="tab"/>
      <w:lvlText w:val="•"/>
      <w:rPr>
        <w:color w:val="3370ff"/>
      </w:rPr>
    </w:lvl>
  </w:abstractNum>
  <w:abstractNum w:abstractNumId="221493">
    <w:lvl>
      <w:numFmt w:val="bullet"/>
      <w:suff w:val="tab"/>
      <w:lvlText w:val="•"/>
      <w:rPr>
        <w:color w:val="3370ff"/>
      </w:rPr>
    </w:lvl>
  </w:abstractNum>
  <w:abstractNum w:abstractNumId="221494">
    <w:lvl>
      <w:numFmt w:val="bullet"/>
      <w:suff w:val="tab"/>
      <w:lvlText w:val="•"/>
      <w:rPr>
        <w:color w:val="3370ff"/>
      </w:rPr>
    </w:lvl>
  </w:abstractNum>
  <w:abstractNum w:abstractNumId="221495">
    <w:lvl>
      <w:numFmt w:val="bullet"/>
      <w:suff w:val="tab"/>
      <w:lvlText w:val="•"/>
      <w:rPr>
        <w:color w:val="3370ff"/>
      </w:rPr>
    </w:lvl>
  </w:abstractNum>
  <w:abstractNum w:abstractNumId="221496">
    <w:lvl>
      <w:numFmt w:val="bullet"/>
      <w:suff w:val="tab"/>
      <w:lvlText w:val="•"/>
      <w:rPr>
        <w:color w:val="3370ff"/>
      </w:rPr>
    </w:lvl>
  </w:abstractNum>
  <w:abstractNum w:abstractNumId="221497">
    <w:lvl>
      <w:numFmt w:val="bullet"/>
      <w:suff w:val="tab"/>
      <w:lvlText w:val="•"/>
      <w:rPr>
        <w:color w:val="3370ff"/>
      </w:rPr>
    </w:lvl>
  </w:abstractNum>
  <w:abstractNum w:abstractNumId="221498">
    <w:lvl>
      <w:numFmt w:val="bullet"/>
      <w:suff w:val="tab"/>
      <w:lvlText w:val="•"/>
      <w:rPr>
        <w:color w:val="3370ff"/>
      </w:rPr>
    </w:lvl>
  </w:abstractNum>
  <w:abstractNum w:abstractNumId="221499">
    <w:lvl>
      <w:numFmt w:val="bullet"/>
      <w:suff w:val="tab"/>
      <w:lvlText w:val="•"/>
      <w:rPr>
        <w:color w:val="3370ff"/>
      </w:rPr>
    </w:lvl>
  </w:abstractNum>
  <w:abstractNum w:abstractNumId="221500">
    <w:lvl>
      <w:numFmt w:val="bullet"/>
      <w:suff w:val="tab"/>
      <w:lvlText w:val="•"/>
      <w:rPr>
        <w:color w:val="3370ff"/>
      </w:rPr>
    </w:lvl>
  </w:abstractNum>
  <w:abstractNum w:abstractNumId="221501">
    <w:lvl>
      <w:numFmt w:val="bullet"/>
      <w:suff w:val="tab"/>
      <w:lvlText w:val="•"/>
      <w:rPr>
        <w:color w:val="3370ff"/>
      </w:rPr>
    </w:lvl>
  </w:abstractNum>
  <w:abstractNum w:abstractNumId="221502">
    <w:lvl>
      <w:numFmt w:val="bullet"/>
      <w:suff w:val="tab"/>
      <w:lvlText w:val="•"/>
      <w:rPr>
        <w:color w:val="3370ff"/>
      </w:rPr>
    </w:lvl>
  </w:abstractNum>
  <w:abstractNum w:abstractNumId="221503">
    <w:lvl>
      <w:numFmt w:val="bullet"/>
      <w:suff w:val="tab"/>
      <w:lvlText w:val="•"/>
      <w:rPr>
        <w:color w:val="3370ff"/>
      </w:rPr>
    </w:lvl>
  </w:abstractNum>
  <w:abstractNum w:abstractNumId="221504">
    <w:lvl>
      <w:numFmt w:val="bullet"/>
      <w:suff w:val="tab"/>
      <w:lvlText w:val="•"/>
      <w:rPr>
        <w:color w:val="3370ff"/>
      </w:rPr>
    </w:lvl>
  </w:abstractNum>
  <w:abstractNum w:abstractNumId="221505">
    <w:lvl>
      <w:numFmt w:val="bullet"/>
      <w:suff w:val="tab"/>
      <w:lvlText w:val="•"/>
      <w:rPr>
        <w:color w:val="3370ff"/>
      </w:rPr>
    </w:lvl>
  </w:abstractNum>
  <w:abstractNum w:abstractNumId="221506">
    <w:lvl>
      <w:numFmt w:val="bullet"/>
      <w:suff w:val="tab"/>
      <w:lvlText w:val="•"/>
      <w:rPr>
        <w:color w:val="3370ff"/>
      </w:rPr>
    </w:lvl>
  </w:abstractNum>
  <w:abstractNum w:abstractNumId="221507">
    <w:lvl>
      <w:numFmt w:val="bullet"/>
      <w:suff w:val="tab"/>
      <w:lvlText w:val="•"/>
      <w:rPr>
        <w:color w:val="3370ff"/>
      </w:rPr>
    </w:lvl>
  </w:abstractNum>
  <w:abstractNum w:abstractNumId="221508">
    <w:lvl>
      <w:numFmt w:val="bullet"/>
      <w:suff w:val="tab"/>
      <w:lvlText w:val="•"/>
      <w:rPr>
        <w:color w:val="3370ff"/>
      </w:rPr>
    </w:lvl>
  </w:abstractNum>
  <w:abstractNum w:abstractNumId="221509">
    <w:lvl>
      <w:numFmt w:val="bullet"/>
      <w:suff w:val="tab"/>
      <w:lvlText w:val="￮"/>
      <w:rPr>
        <w:color w:val="3370ff"/>
      </w:rPr>
    </w:lvl>
  </w:abstractNum>
  <w:abstractNum w:abstractNumId="221510">
    <w:lvl>
      <w:numFmt w:val="bullet"/>
      <w:suff w:val="tab"/>
      <w:lvlText w:val="￮"/>
      <w:rPr>
        <w:color w:val="3370ff"/>
      </w:rPr>
    </w:lvl>
  </w:abstractNum>
  <w:abstractNum w:abstractNumId="221511">
    <w:lvl>
      <w:numFmt w:val="bullet"/>
      <w:suff w:val="tab"/>
      <w:lvlText w:val="•"/>
      <w:rPr>
        <w:color w:val="3370ff"/>
      </w:rPr>
    </w:lvl>
  </w:abstractNum>
  <w:abstractNum w:abstractNumId="221512">
    <w:lvl>
      <w:numFmt w:val="bullet"/>
      <w:suff w:val="tab"/>
      <w:lvlText w:val="￮"/>
      <w:rPr>
        <w:color w:val="3370ff"/>
      </w:rPr>
    </w:lvl>
  </w:abstractNum>
  <w:abstractNum w:abstractNumId="221513">
    <w:lvl>
      <w:numFmt w:val="bullet"/>
      <w:suff w:val="tab"/>
      <w:lvlText w:val="￮"/>
      <w:rPr>
        <w:color w:val="3370ff"/>
      </w:rPr>
    </w:lvl>
  </w:abstractNum>
  <w:abstractNum w:abstractNumId="221514">
    <w:lvl>
      <w:numFmt w:val="bullet"/>
      <w:suff w:val="tab"/>
      <w:lvlText w:val="•"/>
      <w:rPr>
        <w:color w:val="3370ff"/>
      </w:rPr>
    </w:lvl>
  </w:abstractNum>
  <w:abstractNum w:abstractNumId="221515">
    <w:lvl>
      <w:numFmt w:val="bullet"/>
      <w:suff w:val="tab"/>
      <w:lvlText w:val="•"/>
      <w:rPr>
        <w:color w:val="3370ff"/>
      </w:rPr>
    </w:lvl>
  </w:abstractNum>
  <w:abstractNum w:abstractNumId="221516">
    <w:lvl>
      <w:numFmt w:val="bullet"/>
      <w:suff w:val="tab"/>
      <w:lvlText w:val="•"/>
      <w:rPr>
        <w:color w:val="3370ff"/>
      </w:rPr>
    </w:lvl>
  </w:abstractNum>
  <w:abstractNum w:abstractNumId="221517">
    <w:lvl>
      <w:numFmt w:val="bullet"/>
      <w:suff w:val="tab"/>
      <w:lvlText w:val="•"/>
      <w:rPr>
        <w:color w:val="3370ff"/>
      </w:rPr>
    </w:lvl>
  </w:abstractNum>
  <w:abstractNum w:abstractNumId="221518">
    <w:lvl>
      <w:numFmt w:val="bullet"/>
      <w:suff w:val="tab"/>
      <w:lvlText w:val="•"/>
      <w:rPr>
        <w:color w:val="3370ff"/>
      </w:rPr>
    </w:lvl>
  </w:abstractNum>
  <w:abstractNum w:abstractNumId="221519">
    <w:lvl>
      <w:numFmt w:val="bullet"/>
      <w:suff w:val="tab"/>
      <w:lvlText w:val="•"/>
      <w:rPr>
        <w:color w:val="3370ff"/>
      </w:rPr>
    </w:lvl>
  </w:abstractNum>
  <w:abstractNum w:abstractNumId="221520">
    <w:lvl>
      <w:numFmt w:val="bullet"/>
      <w:suff w:val="tab"/>
      <w:lvlText w:val="￮"/>
      <w:rPr>
        <w:color w:val="3370ff"/>
      </w:rPr>
    </w:lvl>
  </w:abstractNum>
  <w:abstractNum w:abstractNumId="221521">
    <w:lvl>
      <w:numFmt w:val="bullet"/>
      <w:suff w:val="tab"/>
      <w:lvlText w:val="▪"/>
      <w:rPr>
        <w:color w:val="3370ff"/>
        <w:sz w:val="11"/>
      </w:rPr>
    </w:lvl>
  </w:abstractNum>
  <w:abstractNum w:abstractNumId="221522">
    <w:lvl>
      <w:numFmt w:val="bullet"/>
      <w:suff w:val="tab"/>
      <w:lvlText w:val="▪"/>
      <w:rPr>
        <w:color w:val="3370ff"/>
        <w:sz w:val="11"/>
      </w:rPr>
    </w:lvl>
  </w:abstractNum>
  <w:abstractNum w:abstractNumId="221523">
    <w:lvl>
      <w:numFmt w:val="bullet"/>
      <w:suff w:val="tab"/>
      <w:lvlText w:val="▪"/>
      <w:rPr>
        <w:color w:val="3370ff"/>
        <w:sz w:val="11"/>
      </w:rPr>
    </w:lvl>
  </w:abstractNum>
  <w:abstractNum w:abstractNumId="221524">
    <w:lvl>
      <w:numFmt w:val="bullet"/>
      <w:suff w:val="tab"/>
      <w:lvlText w:val="•"/>
      <w:rPr>
        <w:color w:val="3370ff"/>
      </w:rPr>
    </w:lvl>
  </w:abstractNum>
  <w:abstractNum w:abstractNumId="221525">
    <w:lvl>
      <w:numFmt w:val="bullet"/>
      <w:suff w:val="tab"/>
      <w:lvlText w:val="•"/>
      <w:rPr>
        <w:color w:val="3370ff"/>
      </w:rPr>
    </w:lvl>
  </w:abstractNum>
  <w:abstractNum w:abstractNumId="221526">
    <w:lvl>
      <w:numFmt w:val="bullet"/>
      <w:suff w:val="tab"/>
      <w:lvlText w:val="•"/>
      <w:rPr>
        <w:color w:val="3370ff"/>
      </w:rPr>
    </w:lvl>
  </w:abstractNum>
  <w:abstractNum w:abstractNumId="221527">
    <w:lvl>
      <w:numFmt w:val="bullet"/>
      <w:suff w:val="tab"/>
      <w:lvlText w:val="•"/>
      <w:rPr>
        <w:color w:val="3370ff"/>
      </w:rPr>
    </w:lvl>
  </w:abstractNum>
  <w:abstractNum w:abstractNumId="221528">
    <w:lvl>
      <w:numFmt w:val="bullet"/>
      <w:suff w:val="tab"/>
      <w:lvlText w:val="•"/>
      <w:rPr>
        <w:color w:val="3370ff"/>
      </w:rPr>
    </w:lvl>
  </w:abstractNum>
  <w:abstractNum w:abstractNumId="221529">
    <w:lvl>
      <w:numFmt w:val="bullet"/>
      <w:suff w:val="tab"/>
      <w:lvlText w:val="•"/>
      <w:rPr>
        <w:color w:val="3370ff"/>
      </w:rPr>
    </w:lvl>
  </w:abstractNum>
  <w:abstractNum w:abstractNumId="221530">
    <w:lvl>
      <w:numFmt w:val="bullet"/>
      <w:suff w:val="tab"/>
      <w:lvlText w:val="•"/>
      <w:rPr>
        <w:color w:val="3370ff"/>
      </w:rPr>
    </w:lvl>
  </w:abstractNum>
  <w:abstractNum w:abstractNumId="221531">
    <w:lvl>
      <w:numFmt w:val="bullet"/>
      <w:suff w:val="tab"/>
      <w:lvlText w:val="￮"/>
      <w:rPr>
        <w:color w:val="3370ff"/>
      </w:rPr>
    </w:lvl>
  </w:abstractNum>
  <w:abstractNum w:abstractNumId="221532">
    <w:lvl>
      <w:numFmt w:val="bullet"/>
      <w:suff w:val="tab"/>
      <w:lvlText w:val="•"/>
      <w:rPr>
        <w:color w:val="3370ff"/>
      </w:rPr>
    </w:lvl>
  </w:abstractNum>
  <w:abstractNum w:abstractNumId="221533">
    <w:lvl>
      <w:numFmt w:val="bullet"/>
      <w:suff w:val="tab"/>
      <w:lvlText w:val="￮"/>
      <w:rPr>
        <w:color w:val="3370ff"/>
      </w:rPr>
    </w:lvl>
  </w:abstractNum>
  <w:abstractNum w:abstractNumId="221534">
    <w:lvl>
      <w:numFmt w:val="bullet"/>
      <w:suff w:val="tab"/>
      <w:lvlText w:val="￮"/>
      <w:rPr>
        <w:color w:val="3370ff"/>
      </w:rPr>
    </w:lvl>
  </w:abstractNum>
  <w:abstractNum w:abstractNumId="221535">
    <w:lvl>
      <w:numFmt w:val="bullet"/>
      <w:suff w:val="tab"/>
      <w:lvlText w:val="•"/>
      <w:rPr>
        <w:color w:val="3370ff"/>
      </w:rPr>
    </w:lvl>
  </w:abstractNum>
  <w:abstractNum w:abstractNumId="221536">
    <w:lvl>
      <w:numFmt w:val="bullet"/>
      <w:suff w:val="tab"/>
      <w:lvlText w:val="•"/>
      <w:rPr>
        <w:color w:val="3370ff"/>
      </w:rPr>
    </w:lvl>
  </w:abstractNum>
  <w:abstractNum w:abstractNumId="221537">
    <w:lvl>
      <w:numFmt w:val="bullet"/>
      <w:suff w:val="tab"/>
      <w:lvlText w:val="￮"/>
      <w:rPr>
        <w:color w:val="3370ff"/>
      </w:rPr>
    </w:lvl>
  </w:abstractNum>
  <w:abstractNum w:abstractNumId="221538">
    <w:lvl>
      <w:numFmt w:val="bullet"/>
      <w:suff w:val="tab"/>
      <w:lvlText w:val="￮"/>
      <w:rPr>
        <w:color w:val="3370ff"/>
      </w:rPr>
    </w:lvl>
  </w:abstractNum>
  <w:abstractNum w:abstractNumId="221539">
    <w:lvl>
      <w:numFmt w:val="bullet"/>
      <w:suff w:val="tab"/>
      <w:lvlText w:val="￮"/>
      <w:rPr>
        <w:color w:val="3370ff"/>
      </w:rPr>
    </w:lvl>
  </w:abstractNum>
  <w:abstractNum w:abstractNumId="221540">
    <w:lvl>
      <w:numFmt w:val="bullet"/>
      <w:suff w:val="tab"/>
      <w:lvlText w:val="•"/>
      <w:rPr>
        <w:color w:val="3370ff"/>
      </w:rPr>
    </w:lvl>
  </w:abstractNum>
  <w:abstractNum w:abstractNumId="221541">
    <w:lvl>
      <w:numFmt w:val="bullet"/>
      <w:suff w:val="tab"/>
      <w:lvlText w:val="￮"/>
      <w:rPr>
        <w:color w:val="3370ff"/>
      </w:rPr>
    </w:lvl>
  </w:abstractNum>
  <w:abstractNum w:abstractNumId="221542">
    <w:lvl>
      <w:numFmt w:val="bullet"/>
      <w:suff w:val="tab"/>
      <w:lvlText w:val="￮"/>
      <w:rPr>
        <w:color w:val="3370ff"/>
      </w:rPr>
    </w:lvl>
  </w:abstractNum>
  <w:abstractNum w:abstractNumId="221543">
    <w:lvl>
      <w:numFmt w:val="bullet"/>
      <w:suff w:val="tab"/>
      <w:lvlText w:val="￮"/>
      <w:rPr>
        <w:color w:val="3370ff"/>
      </w:rPr>
    </w:lvl>
  </w:abstractNum>
  <w:abstractNum w:abstractNumId="221544">
    <w:lvl>
      <w:numFmt w:val="bullet"/>
      <w:suff w:val="tab"/>
      <w:lvlText w:val="•"/>
      <w:rPr>
        <w:color w:val="3370ff"/>
      </w:rPr>
    </w:lvl>
  </w:abstractNum>
  <w:abstractNum w:abstractNumId="221545">
    <w:lvl>
      <w:numFmt w:val="bullet"/>
      <w:suff w:val="tab"/>
      <w:lvlText w:val="•"/>
      <w:rPr>
        <w:color w:val="3370ff"/>
      </w:rPr>
    </w:lvl>
  </w:abstractNum>
  <w:abstractNum w:abstractNumId="221546">
    <w:lvl>
      <w:numFmt w:val="bullet"/>
      <w:suff w:val="tab"/>
      <w:lvlText w:val="•"/>
      <w:rPr>
        <w:color w:val="3370ff"/>
      </w:rPr>
    </w:lvl>
  </w:abstractNum>
  <w:abstractNum w:abstractNumId="221547">
    <w:lvl>
      <w:numFmt w:val="bullet"/>
      <w:suff w:val="tab"/>
      <w:lvlText w:val="•"/>
      <w:rPr>
        <w:color w:val="3370ff"/>
      </w:rPr>
    </w:lvl>
  </w:abstractNum>
  <w:abstractNum w:abstractNumId="221548">
    <w:lvl>
      <w:numFmt w:val="bullet"/>
      <w:suff w:val="tab"/>
      <w:lvlText w:val="•"/>
      <w:rPr>
        <w:color w:val="3370ff"/>
      </w:rPr>
    </w:lvl>
  </w:abstractNum>
  <w:abstractNum w:abstractNumId="221549">
    <w:lvl>
      <w:numFmt w:val="bullet"/>
      <w:suff w:val="tab"/>
      <w:lvlText w:val="•"/>
      <w:rPr>
        <w:color w:val="3370ff"/>
      </w:rPr>
    </w:lvl>
  </w:abstractNum>
  <w:abstractNum w:abstractNumId="221550">
    <w:lvl>
      <w:numFmt w:val="bullet"/>
      <w:suff w:val="tab"/>
      <w:lvlText w:val="•"/>
      <w:rPr>
        <w:color w:val="3370ff"/>
      </w:rPr>
    </w:lvl>
  </w:abstractNum>
  <w:abstractNum w:abstractNumId="221551">
    <w:lvl>
      <w:numFmt w:val="bullet"/>
      <w:suff w:val="tab"/>
      <w:lvlText w:val="•"/>
      <w:rPr>
        <w:color w:val="3370ff"/>
      </w:rPr>
    </w:lvl>
  </w:abstractNum>
  <w:abstractNum w:abstractNumId="221552">
    <w:lvl>
      <w:numFmt w:val="bullet"/>
      <w:suff w:val="tab"/>
      <w:lvlText w:val="•"/>
      <w:rPr>
        <w:color w:val="3370ff"/>
      </w:rPr>
    </w:lvl>
  </w:abstractNum>
  <w:abstractNum w:abstractNumId="221553">
    <w:lvl>
      <w:numFmt w:val="bullet"/>
      <w:suff w:val="tab"/>
      <w:lvlText w:val="•"/>
      <w:rPr>
        <w:color w:val="3370ff"/>
      </w:rPr>
    </w:lvl>
  </w:abstractNum>
  <w:abstractNum w:abstractNumId="221554">
    <w:lvl>
      <w:numFmt w:val="bullet"/>
      <w:suff w:val="tab"/>
      <w:lvlText w:val="•"/>
      <w:rPr>
        <w:color w:val="3370ff"/>
      </w:rPr>
    </w:lvl>
  </w:abstractNum>
  <w:abstractNum w:abstractNumId="221555">
    <w:lvl>
      <w:numFmt w:val="bullet"/>
      <w:suff w:val="tab"/>
      <w:lvlText w:val="•"/>
      <w:rPr>
        <w:color w:val="3370ff"/>
      </w:rPr>
    </w:lvl>
  </w:abstractNum>
  <w:abstractNum w:abstractNumId="221556">
    <w:lvl>
      <w:numFmt w:val="bullet"/>
      <w:suff w:val="tab"/>
      <w:lvlText w:val="•"/>
      <w:rPr>
        <w:color w:val="3370ff"/>
      </w:rPr>
    </w:lvl>
  </w:abstractNum>
  <w:abstractNum w:abstractNumId="221557">
    <w:lvl>
      <w:numFmt w:val="bullet"/>
      <w:suff w:val="tab"/>
      <w:lvlText w:val="•"/>
      <w:rPr>
        <w:color w:val="3370ff"/>
      </w:rPr>
    </w:lvl>
  </w:abstractNum>
  <w:abstractNum w:abstractNumId="221558">
    <w:lvl>
      <w:numFmt w:val="bullet"/>
      <w:suff w:val="tab"/>
      <w:lvlText w:val="•"/>
      <w:rPr>
        <w:color w:val="3370ff"/>
      </w:rPr>
    </w:lvl>
  </w:abstractNum>
  <w:abstractNum w:abstractNumId="221559">
    <w:lvl>
      <w:numFmt w:val="bullet"/>
      <w:suff w:val="tab"/>
      <w:lvlText w:val="•"/>
      <w:rPr>
        <w:color w:val="3370ff"/>
      </w:rPr>
    </w:lvl>
  </w:abstractNum>
  <w:abstractNum w:abstractNumId="221560">
    <w:lvl>
      <w:numFmt w:val="bullet"/>
      <w:suff w:val="tab"/>
      <w:lvlText w:val="•"/>
      <w:rPr>
        <w:color w:val="3370ff"/>
      </w:rPr>
    </w:lvl>
  </w:abstractNum>
  <w:abstractNum w:abstractNumId="221561">
    <w:lvl>
      <w:numFmt w:val="bullet"/>
      <w:suff w:val="tab"/>
      <w:lvlText w:val="•"/>
      <w:rPr>
        <w:color w:val="3370ff"/>
      </w:rPr>
    </w:lvl>
  </w:abstractNum>
  <w:abstractNum w:abstractNumId="221562">
    <w:lvl>
      <w:numFmt w:val="bullet"/>
      <w:suff w:val="tab"/>
      <w:lvlText w:val="•"/>
      <w:rPr>
        <w:color w:val="3370ff"/>
      </w:rPr>
    </w:lvl>
  </w:abstractNum>
  <w:abstractNum w:abstractNumId="221563">
    <w:lvl>
      <w:numFmt w:val="bullet"/>
      <w:suff w:val="tab"/>
      <w:lvlText w:val="•"/>
      <w:rPr>
        <w:color w:val="3370ff"/>
      </w:rPr>
    </w:lvl>
  </w:abstractNum>
  <w:abstractNum w:abstractNumId="221564">
    <w:lvl>
      <w:numFmt w:val="bullet"/>
      <w:suff w:val="tab"/>
      <w:lvlText w:val="•"/>
      <w:rPr>
        <w:color w:val="3370ff"/>
      </w:rPr>
    </w:lvl>
  </w:abstractNum>
  <w:abstractNum w:abstractNumId="221565">
    <w:lvl>
      <w:numFmt w:val="bullet"/>
      <w:suff w:val="tab"/>
      <w:lvlText w:val="•"/>
      <w:rPr>
        <w:color w:val="3370ff"/>
      </w:rPr>
    </w:lvl>
  </w:abstractNum>
  <w:abstractNum w:abstractNumId="221566">
    <w:lvl>
      <w:numFmt w:val="bullet"/>
      <w:suff w:val="tab"/>
      <w:lvlText w:val="•"/>
      <w:rPr>
        <w:color w:val="3370ff"/>
      </w:rPr>
    </w:lvl>
  </w:abstractNum>
  <w:abstractNum w:abstractNumId="221567">
    <w:lvl>
      <w:numFmt w:val="bullet"/>
      <w:suff w:val="tab"/>
      <w:lvlText w:val="•"/>
      <w:rPr>
        <w:color w:val="3370ff"/>
      </w:rPr>
    </w:lvl>
  </w:abstractNum>
  <w:abstractNum w:abstractNumId="221568">
    <w:lvl>
      <w:numFmt w:val="bullet"/>
      <w:suff w:val="tab"/>
      <w:lvlText w:val="•"/>
      <w:rPr>
        <w:color w:val="3370ff"/>
      </w:rPr>
    </w:lvl>
  </w:abstractNum>
  <w:abstractNum w:abstractNumId="221569">
    <w:lvl>
      <w:numFmt w:val="bullet"/>
      <w:suff w:val="tab"/>
      <w:lvlText w:val="•"/>
      <w:rPr>
        <w:color w:val="3370ff"/>
      </w:rPr>
    </w:lvl>
  </w:abstractNum>
  <w:abstractNum w:abstractNumId="221570">
    <w:lvl>
      <w:numFmt w:val="bullet"/>
      <w:suff w:val="tab"/>
      <w:lvlText w:val="•"/>
      <w:rPr>
        <w:color w:val="3370ff"/>
      </w:rPr>
    </w:lvl>
  </w:abstractNum>
  <w:abstractNum w:abstractNumId="221571">
    <w:lvl>
      <w:numFmt w:val="bullet"/>
      <w:suff w:val="tab"/>
      <w:lvlText w:val="•"/>
      <w:rPr>
        <w:color w:val="3370ff"/>
      </w:rPr>
    </w:lvl>
  </w:abstractNum>
  <w:abstractNum w:abstractNumId="221572">
    <w:lvl>
      <w:numFmt w:val="bullet"/>
      <w:suff w:val="tab"/>
      <w:lvlText w:val="•"/>
      <w:rPr>
        <w:color w:val="3370ff"/>
      </w:rPr>
    </w:lvl>
  </w:abstractNum>
  <w:abstractNum w:abstractNumId="221573">
    <w:lvl>
      <w:numFmt w:val="bullet"/>
      <w:suff w:val="tab"/>
      <w:lvlText w:val="•"/>
      <w:rPr>
        <w:color w:val="3370ff"/>
      </w:rPr>
    </w:lvl>
  </w:abstractNum>
  <w:abstractNum w:abstractNumId="221574">
    <w:lvl>
      <w:numFmt w:val="bullet"/>
      <w:suff w:val="tab"/>
      <w:lvlText w:val="•"/>
      <w:rPr>
        <w:color w:val="3370ff"/>
      </w:rPr>
    </w:lvl>
  </w:abstractNum>
  <w:abstractNum w:abstractNumId="221575">
    <w:lvl>
      <w:numFmt w:val="bullet"/>
      <w:suff w:val="tab"/>
      <w:lvlText w:val="•"/>
      <w:rPr>
        <w:color w:val="3370ff"/>
      </w:rPr>
    </w:lvl>
  </w:abstractNum>
  <w:abstractNum w:abstractNumId="221576">
    <w:lvl>
      <w:numFmt w:val="bullet"/>
      <w:suff w:val="tab"/>
      <w:lvlText w:val="•"/>
      <w:rPr>
        <w:color w:val="3370ff"/>
      </w:rPr>
    </w:lvl>
  </w:abstractNum>
  <w:num w:numId="1">
    <w:abstractNumId w:val="221398"/>
  </w:num>
  <w:num w:numId="2">
    <w:abstractNumId w:val="221399"/>
  </w:num>
  <w:num w:numId="3">
    <w:abstractNumId w:val="221400"/>
  </w:num>
  <w:num w:numId="4">
    <w:abstractNumId w:val="221401"/>
  </w:num>
  <w:num w:numId="5">
    <w:abstractNumId w:val="221402"/>
  </w:num>
  <w:num w:numId="6">
    <w:abstractNumId w:val="221403"/>
  </w:num>
  <w:num w:numId="7">
    <w:abstractNumId w:val="221404"/>
  </w:num>
  <w:num w:numId="8">
    <w:abstractNumId w:val="221405"/>
  </w:num>
  <w:num w:numId="9">
    <w:abstractNumId w:val="221406"/>
  </w:num>
  <w:num w:numId="10">
    <w:abstractNumId w:val="221407"/>
  </w:num>
  <w:num w:numId="11">
    <w:abstractNumId w:val="221408"/>
  </w:num>
  <w:num w:numId="12">
    <w:abstractNumId w:val="221409"/>
  </w:num>
  <w:num w:numId="13">
    <w:abstractNumId w:val="221410"/>
  </w:num>
  <w:num w:numId="14">
    <w:abstractNumId w:val="221411"/>
  </w:num>
  <w:num w:numId="15">
    <w:abstractNumId w:val="221412"/>
  </w:num>
  <w:num w:numId="16">
    <w:abstractNumId w:val="221413"/>
  </w:num>
  <w:num w:numId="17">
    <w:abstractNumId w:val="221414"/>
  </w:num>
  <w:num w:numId="18">
    <w:abstractNumId w:val="221415"/>
  </w:num>
  <w:num w:numId="19">
    <w:abstractNumId w:val="221416"/>
  </w:num>
  <w:num w:numId="20">
    <w:abstractNumId w:val="221417"/>
  </w:num>
  <w:num w:numId="21">
    <w:abstractNumId w:val="221418"/>
  </w:num>
  <w:num w:numId="22">
    <w:abstractNumId w:val="221419"/>
  </w:num>
  <w:num w:numId="23">
    <w:abstractNumId w:val="221420"/>
  </w:num>
  <w:num w:numId="24">
    <w:abstractNumId w:val="221421"/>
  </w:num>
  <w:num w:numId="25">
    <w:abstractNumId w:val="221422"/>
  </w:num>
  <w:num w:numId="26">
    <w:abstractNumId w:val="221423"/>
  </w:num>
  <w:num w:numId="27">
    <w:abstractNumId w:val="221424"/>
  </w:num>
  <w:num w:numId="28">
    <w:abstractNumId w:val="221425"/>
  </w:num>
  <w:num w:numId="29">
    <w:abstractNumId w:val="221426"/>
  </w:num>
  <w:num w:numId="30">
    <w:abstractNumId w:val="221427"/>
  </w:num>
  <w:num w:numId="31">
    <w:abstractNumId w:val="221428"/>
  </w:num>
  <w:num w:numId="32">
    <w:abstractNumId w:val="221429"/>
  </w:num>
  <w:num w:numId="33">
    <w:abstractNumId w:val="221430"/>
  </w:num>
  <w:num w:numId="34">
    <w:abstractNumId w:val="221431"/>
  </w:num>
  <w:num w:numId="35">
    <w:abstractNumId w:val="221432"/>
  </w:num>
  <w:num w:numId="36">
    <w:abstractNumId w:val="221433"/>
  </w:num>
  <w:num w:numId="37">
    <w:abstractNumId w:val="221434"/>
  </w:num>
  <w:num w:numId="38">
    <w:abstractNumId w:val="221435"/>
  </w:num>
  <w:num w:numId="39">
    <w:abstractNumId w:val="221436"/>
  </w:num>
  <w:num w:numId="40">
    <w:abstractNumId w:val="221437"/>
  </w:num>
  <w:num w:numId="41">
    <w:abstractNumId w:val="221438"/>
  </w:num>
  <w:num w:numId="42">
    <w:abstractNumId w:val="221439"/>
  </w:num>
  <w:num w:numId="43">
    <w:abstractNumId w:val="221440"/>
  </w:num>
  <w:num w:numId="44">
    <w:abstractNumId w:val="221441"/>
  </w:num>
  <w:num w:numId="45">
    <w:abstractNumId w:val="221442"/>
  </w:num>
  <w:num w:numId="46">
    <w:abstractNumId w:val="221443"/>
  </w:num>
  <w:num w:numId="47">
    <w:abstractNumId w:val="221444"/>
  </w:num>
  <w:num w:numId="48">
    <w:abstractNumId w:val="221445"/>
  </w:num>
  <w:num w:numId="49">
    <w:abstractNumId w:val="221446"/>
  </w:num>
  <w:num w:numId="50">
    <w:abstractNumId w:val="221447"/>
  </w:num>
  <w:num w:numId="51">
    <w:abstractNumId w:val="221448"/>
  </w:num>
  <w:num w:numId="52">
    <w:abstractNumId w:val="221449"/>
  </w:num>
  <w:num w:numId="53">
    <w:abstractNumId w:val="221450"/>
  </w:num>
  <w:num w:numId="54">
    <w:abstractNumId w:val="221451"/>
  </w:num>
  <w:num w:numId="55">
    <w:abstractNumId w:val="221452"/>
  </w:num>
  <w:num w:numId="56">
    <w:abstractNumId w:val="221453"/>
  </w:num>
  <w:num w:numId="57">
    <w:abstractNumId w:val="221454"/>
  </w:num>
  <w:num w:numId="58">
    <w:abstractNumId w:val="221455"/>
  </w:num>
  <w:num w:numId="59">
    <w:abstractNumId w:val="221456"/>
  </w:num>
  <w:num w:numId="60">
    <w:abstractNumId w:val="221457"/>
  </w:num>
  <w:num w:numId="61">
    <w:abstractNumId w:val="221458"/>
  </w:num>
  <w:num w:numId="62">
    <w:abstractNumId w:val="221459"/>
  </w:num>
  <w:num w:numId="63">
    <w:abstractNumId w:val="221460"/>
  </w:num>
  <w:num w:numId="64">
    <w:abstractNumId w:val="221461"/>
  </w:num>
  <w:num w:numId="65">
    <w:abstractNumId w:val="221462"/>
  </w:num>
  <w:num w:numId="66">
    <w:abstractNumId w:val="221463"/>
  </w:num>
  <w:num w:numId="67">
    <w:abstractNumId w:val="221464"/>
  </w:num>
  <w:num w:numId="68">
    <w:abstractNumId w:val="221465"/>
  </w:num>
  <w:num w:numId="69">
    <w:abstractNumId w:val="221466"/>
  </w:num>
  <w:num w:numId="70">
    <w:abstractNumId w:val="221467"/>
  </w:num>
  <w:num w:numId="71">
    <w:abstractNumId w:val="221468"/>
  </w:num>
  <w:num w:numId="72">
    <w:abstractNumId w:val="221469"/>
  </w:num>
  <w:num w:numId="73">
    <w:abstractNumId w:val="221470"/>
  </w:num>
  <w:num w:numId="74">
    <w:abstractNumId w:val="221471"/>
  </w:num>
  <w:num w:numId="75">
    <w:abstractNumId w:val="221472"/>
  </w:num>
  <w:num w:numId="76">
    <w:abstractNumId w:val="221473"/>
  </w:num>
  <w:num w:numId="77">
    <w:abstractNumId w:val="221474"/>
  </w:num>
  <w:num w:numId="78">
    <w:abstractNumId w:val="221475"/>
  </w:num>
  <w:num w:numId="79">
    <w:abstractNumId w:val="221476"/>
  </w:num>
  <w:num w:numId="80">
    <w:abstractNumId w:val="221477"/>
  </w:num>
  <w:num w:numId="81">
    <w:abstractNumId w:val="221478"/>
  </w:num>
  <w:num w:numId="82">
    <w:abstractNumId w:val="221479"/>
  </w:num>
  <w:num w:numId="83">
    <w:abstractNumId w:val="221480"/>
  </w:num>
  <w:num w:numId="84">
    <w:abstractNumId w:val="221481"/>
  </w:num>
  <w:num w:numId="85">
    <w:abstractNumId w:val="221482"/>
  </w:num>
  <w:num w:numId="86">
    <w:abstractNumId w:val="221483"/>
  </w:num>
  <w:num w:numId="87">
    <w:abstractNumId w:val="221484"/>
  </w:num>
  <w:num w:numId="88">
    <w:abstractNumId w:val="221485"/>
  </w:num>
  <w:num w:numId="89">
    <w:abstractNumId w:val="221486"/>
  </w:num>
  <w:num w:numId="90">
    <w:abstractNumId w:val="221487"/>
  </w:num>
  <w:num w:numId="91">
    <w:abstractNumId w:val="221488"/>
  </w:num>
  <w:num w:numId="92">
    <w:abstractNumId w:val="221489"/>
  </w:num>
  <w:num w:numId="93">
    <w:abstractNumId w:val="221490"/>
  </w:num>
  <w:num w:numId="94">
    <w:abstractNumId w:val="221491"/>
  </w:num>
  <w:num w:numId="95">
    <w:abstractNumId w:val="221492"/>
  </w:num>
  <w:num w:numId="96">
    <w:abstractNumId w:val="221493"/>
  </w:num>
  <w:num w:numId="97">
    <w:abstractNumId w:val="221494"/>
  </w:num>
  <w:num w:numId="98">
    <w:abstractNumId w:val="221495"/>
  </w:num>
  <w:num w:numId="99">
    <w:abstractNumId w:val="221496"/>
  </w:num>
  <w:num w:numId="100">
    <w:abstractNumId w:val="221497"/>
  </w:num>
  <w:num w:numId="101">
    <w:abstractNumId w:val="221498"/>
  </w:num>
  <w:num w:numId="102">
    <w:abstractNumId w:val="221499"/>
  </w:num>
  <w:num w:numId="103">
    <w:abstractNumId w:val="221500"/>
  </w:num>
  <w:num w:numId="104">
    <w:abstractNumId w:val="221501"/>
  </w:num>
  <w:num w:numId="105">
    <w:abstractNumId w:val="221502"/>
  </w:num>
  <w:num w:numId="106">
    <w:abstractNumId w:val="221503"/>
  </w:num>
  <w:num w:numId="107">
    <w:abstractNumId w:val="221504"/>
  </w:num>
  <w:num w:numId="108">
    <w:abstractNumId w:val="221505"/>
  </w:num>
  <w:num w:numId="109">
    <w:abstractNumId w:val="221506"/>
  </w:num>
  <w:num w:numId="110">
    <w:abstractNumId w:val="221507"/>
  </w:num>
  <w:num w:numId="111">
    <w:abstractNumId w:val="221508"/>
  </w:num>
  <w:num w:numId="112">
    <w:abstractNumId w:val="221509"/>
  </w:num>
  <w:num w:numId="113">
    <w:abstractNumId w:val="221510"/>
  </w:num>
  <w:num w:numId="114">
    <w:abstractNumId w:val="221511"/>
  </w:num>
  <w:num w:numId="115">
    <w:abstractNumId w:val="221512"/>
  </w:num>
  <w:num w:numId="116">
    <w:abstractNumId w:val="221513"/>
  </w:num>
  <w:num w:numId="117">
    <w:abstractNumId w:val="221514"/>
  </w:num>
  <w:num w:numId="118">
    <w:abstractNumId w:val="221515"/>
  </w:num>
  <w:num w:numId="119">
    <w:abstractNumId w:val="221516"/>
  </w:num>
  <w:num w:numId="120">
    <w:abstractNumId w:val="221517"/>
  </w:num>
  <w:num w:numId="121">
    <w:abstractNumId w:val="221518"/>
  </w:num>
  <w:num w:numId="122">
    <w:abstractNumId w:val="221519"/>
  </w:num>
  <w:num w:numId="123">
    <w:abstractNumId w:val="221520"/>
  </w:num>
  <w:num w:numId="124">
    <w:abstractNumId w:val="221521"/>
  </w:num>
  <w:num w:numId="125">
    <w:abstractNumId w:val="221522"/>
  </w:num>
  <w:num w:numId="126">
    <w:abstractNumId w:val="221523"/>
  </w:num>
  <w:num w:numId="127">
    <w:abstractNumId w:val="221524"/>
  </w:num>
  <w:num w:numId="128">
    <w:abstractNumId w:val="221525"/>
  </w:num>
  <w:num w:numId="129">
    <w:abstractNumId w:val="221526"/>
  </w:num>
  <w:num w:numId="130">
    <w:abstractNumId w:val="221527"/>
  </w:num>
  <w:num w:numId="131">
    <w:abstractNumId w:val="221528"/>
  </w:num>
  <w:num w:numId="132">
    <w:abstractNumId w:val="221529"/>
  </w:num>
  <w:num w:numId="133">
    <w:abstractNumId w:val="221530"/>
  </w:num>
  <w:num w:numId="134">
    <w:abstractNumId w:val="221531"/>
  </w:num>
  <w:num w:numId="135">
    <w:abstractNumId w:val="221532"/>
  </w:num>
  <w:num w:numId="136">
    <w:abstractNumId w:val="221533"/>
  </w:num>
  <w:num w:numId="137">
    <w:abstractNumId w:val="221534"/>
  </w:num>
  <w:num w:numId="138">
    <w:abstractNumId w:val="221535"/>
  </w:num>
  <w:num w:numId="139">
    <w:abstractNumId w:val="221536"/>
  </w:num>
  <w:num w:numId="140">
    <w:abstractNumId w:val="221537"/>
  </w:num>
  <w:num w:numId="141">
    <w:abstractNumId w:val="221538"/>
  </w:num>
  <w:num w:numId="142">
    <w:abstractNumId w:val="221539"/>
  </w:num>
  <w:num w:numId="143">
    <w:abstractNumId w:val="221540"/>
  </w:num>
  <w:num w:numId="144">
    <w:abstractNumId w:val="221541"/>
  </w:num>
  <w:num w:numId="145">
    <w:abstractNumId w:val="221542"/>
  </w:num>
  <w:num w:numId="146">
    <w:abstractNumId w:val="221543"/>
  </w:num>
  <w:num w:numId="147">
    <w:abstractNumId w:val="221544"/>
  </w:num>
  <w:num w:numId="148">
    <w:abstractNumId w:val="221545"/>
  </w:num>
  <w:num w:numId="149">
    <w:abstractNumId w:val="221546"/>
  </w:num>
  <w:num w:numId="150">
    <w:abstractNumId w:val="221547"/>
  </w:num>
  <w:num w:numId="151">
    <w:abstractNumId w:val="221548"/>
  </w:num>
  <w:num w:numId="152">
    <w:abstractNumId w:val="221549"/>
  </w:num>
  <w:num w:numId="153">
    <w:abstractNumId w:val="221550"/>
  </w:num>
  <w:num w:numId="154">
    <w:abstractNumId w:val="221551"/>
  </w:num>
  <w:num w:numId="155">
    <w:abstractNumId w:val="221552"/>
  </w:num>
  <w:num w:numId="156">
    <w:abstractNumId w:val="221553"/>
  </w:num>
  <w:num w:numId="157">
    <w:abstractNumId w:val="221554"/>
  </w:num>
  <w:num w:numId="158">
    <w:abstractNumId w:val="221555"/>
  </w:num>
  <w:num w:numId="159">
    <w:abstractNumId w:val="221556"/>
  </w:num>
  <w:num w:numId="160">
    <w:abstractNumId w:val="221557"/>
  </w:num>
  <w:num w:numId="161">
    <w:abstractNumId w:val="221558"/>
  </w:num>
  <w:num w:numId="162">
    <w:abstractNumId w:val="221559"/>
  </w:num>
  <w:num w:numId="163">
    <w:abstractNumId w:val="221560"/>
  </w:num>
  <w:num w:numId="164">
    <w:abstractNumId w:val="221561"/>
  </w:num>
  <w:num w:numId="165">
    <w:abstractNumId w:val="221562"/>
  </w:num>
  <w:num w:numId="166">
    <w:abstractNumId w:val="221563"/>
  </w:num>
  <w:num w:numId="167">
    <w:abstractNumId w:val="221564"/>
  </w:num>
  <w:num w:numId="168">
    <w:abstractNumId w:val="221565"/>
  </w:num>
  <w:num w:numId="169">
    <w:abstractNumId w:val="221566"/>
  </w:num>
  <w:num w:numId="170">
    <w:abstractNumId w:val="221567"/>
  </w:num>
  <w:num w:numId="171">
    <w:abstractNumId w:val="221568"/>
  </w:num>
  <w:num w:numId="172">
    <w:abstractNumId w:val="221569"/>
  </w:num>
  <w:num w:numId="173">
    <w:abstractNumId w:val="221570"/>
  </w:num>
  <w:num w:numId="174">
    <w:abstractNumId w:val="221571"/>
  </w:num>
  <w:num w:numId="175">
    <w:abstractNumId w:val="221572"/>
  </w:num>
  <w:num w:numId="176">
    <w:abstractNumId w:val="221573"/>
  </w:num>
  <w:num w:numId="177">
    <w:abstractNumId w:val="221574"/>
  </w:num>
  <w:num w:numId="178">
    <w:abstractNumId w:val="221575"/>
  </w:num>
  <w:num w:numId="179">
    <w:abstractNumId w:val="22157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word/_rels/header1.xml.rels><?xml version="1.0" encoding="UTF-8" standalone="yes"?><Relationships xmlns="http://schemas.openxmlformats.org/package/2006/relationships"><Relationship Id="rId1" Target="media/image7.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2026-03-13T08:25:42Z</dcterms:created>
  <dc:creator>Apache POI</dc:creator>
</cp:coreProperties>
</file>