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金属损益（Metal Result）及管报重构项目进度汇报及问题沟通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一、项目进度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系统架构设计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金属损益模块整体架构如下：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43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Metal result 系统结构图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为确保金属损益项目需求实现的准确性与稳定性，项目组采取“业务梳理 → 算例确认 → 基于CTRM系统数据手算验证 → 需求设计 → 开发实现 → 用户验证”的闭环推进思路。以业务数据为驱动、以算例为“标准”，确保每一计算环节均经过业务确认，最大程度降低后期需求变更与返工风险。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目前Metal result开发进度总览，不包含管报重构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总任务数：73项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已完成：29项（开发测试+需求完成14项进行中）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未开始：30项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总体进度：约 50%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已完成/进行中：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价格主数据管理（LME、Greenlist、Scorporo等）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净库存数量统计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净库存金额统计（需求已完成，开发中）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P&amp;L金额统计（需求进行中）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⏳ 审计版本报表统计（未开始）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Metal Result 开发进度（截止2026年6月3日）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✅任务管理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关键里程碑：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2026年4月EOM BASE DATA 系统数据与线下手算对比：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当前系统数据统计结果核对（以四月份数据为例）：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1、意大利、柏林工厂 未套期保值头寸数据与线下手工计算一致；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2、法国工厂 未套期保值头寸数据比线下数据多 2365.2KG;（差异源自CRM单据数量增加）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3、门登工厂 数据存在较大出入；（差异源自西班牙头寸数据未参与计算）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2026年4月EOM BASE DATA 系统数据与线下手算对比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管报重构项目进度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基础数据（Margin部分）开发：6月30日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其余开发项：8月启动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系统上线：12月1日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UAT测试：验证12月&amp;1月月结数据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验收时间：2027年1月31日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二、项目计划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Metal Result 开发计划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金属损益项目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管报重构项目</w:t>
      </w:r>
      <w:bookmarkEnd w:id="6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审计版可以延后，管报重构提前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三、关键问题与建议方案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 Metal Result价格逻辑概览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Metal Result 价格计算框架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8" o:title=""/>
          </v:shape>
          <o:OLEObject DrawAspect="Icon" ObjectID="_1718471222" ProgID="Excel.Sheet.12" ShapeID="_x0000_i1028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Metal Result 价格逻辑概览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采购订单升贴水（Premium/Discount）报表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升贴水计算公式：</w:t>
      </w:r>
      <w:r>
        <w:rPr>
          <w:rFonts w:eastAsia="Consolas" w:ascii="Consolas" w:cs="Consolas" w:hAnsi="Consolas"/>
          <w:sz w:val="22"/>
          <w:shd w:fill="EFF0F1"/>
        </w:rPr>
        <w:t xml:space="preserve">Unit discount + </w:t>
      </w:r>
      <w:r>
        <w:rPr>
          <w:rFonts w:eastAsia="Consolas" w:ascii="Consolas" w:cs="Consolas" w:hAnsi="Consolas"/>
          <w:sz w:val="22"/>
          <w:shd w:fill="EFF0F1"/>
        </w:rPr>
        <w:t>Interest</w:t>
      </w:r>
      <w:r>
        <w:rPr>
          <w:rFonts w:eastAsia="Consolas" w:ascii="Consolas" w:cs="Consolas" w:hAnsi="Consolas"/>
          <w:sz w:val="22"/>
          <w:shd w:fill="EFF0F1"/>
        </w:rPr>
        <w:t xml:space="preserve"> - Transportation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Unit discount：固定值或百分比（订单签订日 LME × 百分比）。区分金属类型：New metal 取 LME Cash；Scrap 取 LME Lowest。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Interest：</w:t>
      </w:r>
      <w:r>
        <w:rPr>
          <w:rFonts w:eastAsia="Consolas" w:ascii="Consolas" w:cs="Consolas" w:hAnsi="Consolas"/>
          <w:sz w:val="22"/>
          <w:shd w:fill="EFF0F1"/>
        </w:rPr>
        <w:t>4% ÷ 365 × Payment Days × Metal Value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Transportation：根据贸易术语取固定单价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升贴水需在采购订单中由业务人员手工录入，系统据此生成升贴水报表。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采购人员订单中会有忘记录入升贴水的情况，或者系统不支持复杂升贴水，导致用户录入订单缺失升贴水的情况，报表无法取到某些订单的升贴水。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业务如何管理和核对升贴水缺失？是否需要倒算升贴水的方式（例如根据合同金额与LME价格反推）？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复杂升贴水场景（固定升贴水 + 百分比升贴水），正在设计开发中。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Greenlist 市场公允采购价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原材料：</w:t>
      </w:r>
      <w:r>
        <w:rPr>
          <w:rFonts w:eastAsia="Consolas" w:ascii="Consolas" w:cs="Consolas" w:hAnsi="Consolas"/>
          <w:sz w:val="22"/>
          <w:shd w:fill="EFF0F1"/>
        </w:rPr>
        <w:t>Greenlist = LME + Discount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月底 LME：New metal 取 LME Cash；Scrap 取 LME Lowest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Discount：根据最近一个月收货数量和订单升贴水加权平均计算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半成品/成品：月底 </w:t>
      </w:r>
      <w:r>
        <w:rPr>
          <w:rFonts w:eastAsia="Consolas" w:ascii="Consolas" w:cs="Consolas" w:hAnsi="Consolas"/>
          <w:sz w:val="22"/>
          <w:shd w:fill="EFF0F1"/>
        </w:rPr>
        <w:t>Scorporo Price</w:t>
      </w:r>
      <w:r>
        <w:rPr>
          <w:rFonts w:eastAsia="等线" w:ascii="Arial" w:cs="Arial" w:hAnsi="Arial"/>
          <w:sz w:val="22"/>
        </w:rPr>
        <w:t>（配方成本 + 销售加价）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支持特殊规则和手动调整。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加权平均 Discount 的计算窗口期是否固定为“最近一个月”如何理解？EIRC：如果当月没有则找上个月的收货记录。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手动调整的依据和逻辑是什么。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LME Equivalent（LME折算价）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  <w:r>
        <w:rPr>
          <w:rFonts w:eastAsia="Consolas" w:ascii="Consolas" w:cs="Consolas" w:hAnsi="Consolas"/>
          <w:sz w:val="22"/>
          <w:shd w:fill="EFF0F1"/>
        </w:rPr>
        <w:t>LME Equivalent = Σ(Yield × LME × Composition)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取月底的 LME Cash 价格。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Yield 和 Composition如何取值？Eric:取工厂的质检类型数据。 Yiled:金属回收率/出水率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回料（Recycle）和废料（Residules）如何取值？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3.5 Delta of Greenlist and LME（价差）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Delta = Greenlist - LME Equivalent</w:t>
      </w:r>
      <w:r>
        <w:rPr>
          <w:rFonts w:eastAsia="等线" w:ascii="Arial" w:cs="Arial" w:hAnsi="Arial"/>
          <w:sz w:val="22"/>
        </w:rPr>
        <w:t>（Greenlist 与 LME 的价差）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Delta 是商品的维度，Adder是元素的维度，Adder通过当月的收货拆分得到，两者关系如何定义更简便？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3.6 WAV of Base Metal（采购加权平均成本）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累计采购入库成本 = 上月剩余库存成本 + 本月采购入库成本 → 得到金属成本单价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月底剩余库存成本 = 金属单价 × 月底剩余库存数量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支持盘库更新月底剩余库存数量。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数据示例：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20" o:title=""/>
          </v:shape>
          <o:OLEObject DrawAspect="Icon" ObjectID="_1718471223" ProgID="Excel.Sheet.12" ShapeID="_x0000_i1029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盘库更新是否需要系统自动更新计算的月底库存？Eric:一年2次，系统自动更新更好，但是手动更新也可以接受。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3.7 本月采购成本（入库金属价值拆分）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数量：</w:t>
      </w:r>
      <w:r>
        <w:rPr>
          <w:rFonts w:eastAsia="Consolas" w:ascii="Consolas" w:cs="Consolas" w:hAnsi="Consolas"/>
          <w:sz w:val="22"/>
          <w:shd w:fill="EFF0F1"/>
        </w:rPr>
        <w:t>收货数量 × Yield × 工厂金属组成</w:t>
      </w:r>
      <w:r>
        <w:rPr>
          <w:rFonts w:eastAsia="等线" w:ascii="Arial" w:cs="Arial" w:hAnsi="Arial"/>
          <w:sz w:val="22"/>
        </w:rPr>
        <w:t>。特殊规则：如果金属数量 &gt; 10,000 吨，则减去 10,000 吨（Eric 公式）。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金额：按收货日期估值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主成分：</w:t>
      </w:r>
      <w:r>
        <w:rPr>
          <w:rFonts w:eastAsia="Consolas" w:ascii="Consolas" w:cs="Consolas" w:hAnsi="Consolas"/>
          <w:sz w:val="22"/>
          <w:shd w:fill="EFF0F1"/>
        </w:rPr>
        <w:t>金属价值 + 待收发票金额 - 非主成分金额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非主成分：入库日期，金属单价 × 金属组成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原材料：非主成分金额 = 入库日期 </w:t>
      </w:r>
      <w:r>
        <w:rPr>
          <w:rFonts w:eastAsia="Consolas" w:ascii="Consolas" w:cs="Consolas" w:hAnsi="Consolas"/>
          <w:sz w:val="22"/>
          <w:shd w:fill="EFF0F1"/>
        </w:rPr>
        <w:t>Σ(LME Cash × Yield× 金属组成)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半成品/成品：非主成分金额 = 入库日期 </w:t>
      </w:r>
      <w:r>
        <w:rPr>
          <w:rFonts w:eastAsia="Consolas" w:ascii="Consolas" w:cs="Consolas" w:hAnsi="Consolas"/>
          <w:sz w:val="22"/>
          <w:shd w:fill="EFF0F1"/>
        </w:rPr>
        <w:t>Σ(Scorporo_金属 × Yield× 金属组成)</w:t>
      </w:r>
      <w:r>
        <w:rPr>
          <w:rFonts w:eastAsia="等线" w:ascii="Arial" w:cs="Arial" w:hAnsi="Arial"/>
          <w:sz w:val="22"/>
        </w:rPr>
        <w:t>（Scorporo_Cu、Scorporo_Zn 等）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本月采购成本拆分金属计算逻辑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数据示例：</w:t>
      </w:r>
    </w:p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Wav &amp; Adder HBF 202603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“金属数量 &gt; 10,000 吨减去 10,000 吨”规则是否适用于所有金属？10,000 吨是固定值还是按金属不同？Eric:都按10000吨考虑。目的是什么？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行业中存在长单合同，超过年度协议量后价格另议，故需减除超额部分。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主成分与非主成分的拆分依据是质检含量最高元素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为什么半成品/成品采用了Scorporo_金属计算非主成分金额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AI解读：因为半成品/成品的非主成分金属（如黄铜中的铅、锌）已包含在配方成本中，若用LME会重复计价，故采用Scorporo_金属价格更合理。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3.8 ADDER of Base Metal（元素维度精废价差）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当月收货：</w:t>
      </w:r>
      <w:r>
        <w:rPr>
          <w:rFonts w:eastAsia="Consolas" w:ascii="Consolas" w:cs="Consolas" w:hAnsi="Consolas"/>
          <w:sz w:val="22"/>
          <w:shd w:fill="EFF0F1"/>
        </w:rPr>
        <w:t>ADDER = (主成分的 Adder 求和 - 半成品&amp;成品 Margin 金额) / 主成分数量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Adder 本质是月底 Greenlist 与 LME 的价差，价差只分配到主成分上：</w:t>
      </w:r>
      <w:r>
        <w:rPr>
          <w:rFonts w:eastAsia="Consolas" w:ascii="Consolas" w:cs="Consolas" w:hAnsi="Consolas"/>
          <w:sz w:val="22"/>
          <w:shd w:fill="EFF0F1"/>
        </w:rPr>
        <w:t>Σ(Adder × 主成分数量)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只计算本月，不累计。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当月收货示例：</w:t>
      </w:r>
    </w:p>
    <w:p>
      <w:pPr>
        <w:spacing w:before="120" w:after="120" w:line="288" w:lineRule="auto"/>
        <w:ind w:left="0"/>
      </w:pPr>
      <w:r>
        <w:object>
          <v:shape id="_x0000_i1030" style="width:414pt;height:168pt;mso-width-percent:0;mso-height-percent:0;mso-width-percent:0;mso-height-percent:0" type="#_x0000_t75" o:ole="">
            <v:imagedata r:id="rId24" o:title=""/>
          </v:shape>
          <o:OLEObject DrawAspect="Icon" ObjectID="_1718471224" ProgID="Excel.Sheet.12" ShapeID="_x0000_i1030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 Adder计算：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90"/>
        <w:gridCol w:w="2085"/>
        <w:gridCol w:w="2445"/>
        <w:gridCol w:w="2445"/>
      </w:tblGrid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Total ADDER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 Qty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Adder单价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3733.687907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0.043711886</w:t>
            </w:r>
          </w:p>
        </w:tc>
      </w:tr>
      <w:tr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-187.0476564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12530.46701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-0.014927429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Adder 只计算本月而不累计（与 WAV 不同）？业务上如何解释？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读：Adder反映的是当月市场精废价差的真实水平，用于减值测试中的可变现净值（NRV）。若累计计算，会模糊当期市场信号，不利于及时计提减值。WAV是成本概念，需要累计；Adder是市场价格概念，使用当月值更符合谨慎性原则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半成品&amp;成品的 Margin 金额是 3.9 中 Margin 的影响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Delta 是商品的维度，Adder是元素的维度，Addert通过当月的收货拆分得到，两者关系如何定义更简便？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Adder只计算主成分占的数量，似乎把其他成分的数量影响金额漏掉了，是否正确？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AI解读：精废价差通常由主成分金属驱动（如铜废料按含铜量定价），非主成分金属的价差波动较小，且已通过非主成分金额计算体现。因此只将Adder分配到主成分上是行业惯例。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3.9 Margin（半成品/成品销售加价）的计算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Margin数据维护：类似于 Scorporo 价格管理。未来只存在一个 Margin 值（不区分固定与变动），不一定每日调整。EOD 时若无新上传，则沿用上一日价格。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Adder 的影响：仅针对半成品和成品。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手工计算方式：</w:t>
      </w:r>
      <w:r>
        <w:rPr>
          <w:rFonts w:eastAsia="Consolas" w:ascii="Consolas" w:cs="Consolas" w:hAnsi="Consolas"/>
          <w:sz w:val="22"/>
          <w:shd w:fill="EFF0F1"/>
        </w:rPr>
        <w:t>Σ(月底 Margin × Alloy 本年度所有入库数量) / Σ(Alloy 本年度所有入库数量) × 本月主成分数量</w:t>
      </w:r>
      <w:r>
        <w:rPr>
          <w:rFonts w:eastAsia="等线" w:ascii="Arial" w:cs="Arial" w:hAnsi="Arial"/>
          <w:sz w:val="22"/>
        </w:rPr>
        <w:t xml:space="preserve"> → 得到调减金额。不考虑上年度剩余库存，采用本年度平均 Margin × 本月主成分数量。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系统建议逻辑：与 WAV 和 Adder 类似，每月在入库行层面计算当月月底 Margin，计算 </w:t>
      </w:r>
      <w:r>
        <w:rPr>
          <w:rFonts w:eastAsia="Consolas" w:ascii="Consolas" w:cs="Consolas" w:hAnsi="Consolas"/>
          <w:sz w:val="22"/>
          <w:shd w:fill="EFF0F1"/>
        </w:rPr>
        <w:t>Margin × 入库数量</w:t>
      </w:r>
      <w:r>
        <w:rPr>
          <w:rFonts w:eastAsia="等线" w:ascii="Arial" w:cs="Arial" w:hAnsi="Arial"/>
          <w:sz w:val="22"/>
        </w:rPr>
        <w:t xml:space="preserve">。单独出具报表，统计 </w:t>
      </w:r>
      <w:r>
        <w:rPr>
          <w:rFonts w:eastAsia="Consolas" w:ascii="Consolas" w:cs="Consolas" w:hAnsi="Consolas"/>
          <w:sz w:val="22"/>
          <w:shd w:fill="EFF0F1"/>
        </w:rPr>
        <w:t>Σ(Margin × 入库数量) / Σ入库数量 × 主成分数量</w:t>
      </w:r>
      <w:r>
        <w:rPr>
          <w:rFonts w:eastAsia="等线" w:ascii="Arial" w:cs="Arial" w:hAnsi="Arial"/>
          <w:sz w:val="22"/>
        </w:rPr>
        <w:t xml:space="preserve"> 作为调减金额。若 Margin 变动，每月单独计算后累加。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数据示例：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6" o:title=""/>
          </v:shape>
          <o:OLEObject DrawAspect="Icon" ObjectID="_1718471225" ProgID="Excel.Sheet.12" ShapeID="_x0000_i1031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系统应采用手工计算方式还是建议逻辑？建议逻辑与 WAV 保持一致（逐月累加），更符合会计连贯性原则。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Margin 是否应纳入月底最终库存估值调减？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3.10 待收发票金额（Credit/Debit to be received）的部分开票处理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场景一（发生点价，金额部分开票）：</w:t>
        <w:br/>
      </w:r>
      <w:r>
        <w:rPr>
          <w:rFonts w:eastAsia="Consolas" w:ascii="Consolas" w:cs="Consolas" w:hAnsi="Consolas"/>
          <w:sz w:val="22"/>
          <w:shd w:fill="EFF0F1"/>
        </w:rPr>
        <w:t>Credit/Debit to be received = 点价金额 - 已开票金额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场景二（未发生点价，金额部分开票）：</w:t>
        <w:br/>
      </w:r>
      <w:r>
        <w:rPr>
          <w:rFonts w:eastAsia="Consolas" w:ascii="Consolas" w:cs="Consolas" w:hAnsi="Consolas"/>
          <w:sz w:val="22"/>
          <w:shd w:fill="EFF0F1"/>
        </w:rPr>
        <w:t>Credit/Debit to be received = 月底定价公式价格 - 已开票金额</w:t>
      </w:r>
      <w:r>
        <w:rPr>
          <w:rFonts w:eastAsia="等线" w:ascii="Arial" w:cs="Arial" w:hAnsi="Arial"/>
          <w:sz w:val="22"/>
        </w:rPr>
        <w:t>（优先使用点价，否则用月结定价规则，而非暂估价格）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订单关闭后，</w:t>
      </w:r>
      <w:r>
        <w:rPr>
          <w:rFonts w:eastAsia="Consolas" w:ascii="Consolas" w:cs="Consolas" w:hAnsi="Consolas"/>
          <w:sz w:val="22"/>
          <w:shd w:fill="EFF0F1"/>
        </w:rPr>
        <w:t>Credit/Debit to be received = 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典型场景示例：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铜精矿采购，点价前暂估价$8000/吨，收货100吨，发票开50吨，单价$7900。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已开票金额 = 50×7900 = $395,000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点价后最终价$8200/吨，点价金额 = 100×8200 = $820,000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Credit/Debit = 820,000 - 395,000 = $425,000（待收）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若订单关闭（收货完成、发票结清、款项两清），则该金额归零。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系统计算出 </w:t>
      </w:r>
      <w:r>
        <w:rPr>
          <w:rFonts w:eastAsia="Consolas" w:ascii="Consolas" w:cs="Consolas" w:hAnsi="Consolas"/>
          <w:sz w:val="22"/>
          <w:shd w:fill="EFF0F1"/>
        </w:rPr>
        <w:t>Credit/Debit ≠ 0</w:t>
      </w:r>
      <w:r>
        <w:rPr>
          <w:rFonts w:eastAsia="等线" w:ascii="Arial" w:cs="Arial" w:hAnsi="Arial"/>
          <w:sz w:val="22"/>
        </w:rPr>
        <w:t xml:space="preserve"> 时，若操作关闭订单，该金额归零。什么情况下会关闭订单？是业务实际完成（如收货完成、发票结清）还是人为强制关闭？为什么要关闭？关闭后是否可逆？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如何让采购团队更好地确认这一场景涉及的金额？确认截止时间？未确认时的默认值策略？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3.11 实物库存减值测试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库存价值 = Σ月底实物库存金属占比 × MIN(WAV, Comparable Price)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按金属维度（CU, ZN, PB, NI）分别计算。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数据示例：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8" o:title=""/>
          </v:shape>
          <o:OLEObject DrawAspect="Icon" ObjectID="_1718471226" ProgID="Excel.Sheet.12" ShapeID="_x0000_i1032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为什么要进行减值测试？符合IFRS 孰低计量原则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AI解读：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行业补充：根据IAS 2存货，存货应按成本与可变现净值（NRV）孰低计量。NRV的估计需考虑：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完工成本（半成品适用）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销售费用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市场售价：对于金属，通常取LME Cash + 精废价差（Adder）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当Adder无法获取时（本月无该金属入库），采用Scorporo价格作为替代市场价，因其包含了基础金属成本与加工费，更接近实际可回收金额。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减值测试结果：差额部分计入资产减值损失，推送至SAP生成会计凭证。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3.12 Comparable Price（可比价格）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现有业务逻辑：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Comparable Price = LME Cash + ADDER of Base metal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ADDER = 0</w:t>
      </w:r>
      <w:r>
        <w:rPr>
          <w:rFonts w:eastAsia="等线" w:ascii="Arial" w:cs="Arial" w:hAnsi="Arial"/>
          <w:sz w:val="22"/>
        </w:rPr>
        <w:t>（本月无主成分为该金属的入库），则调整为用月底 Scorporo 价格来评估（紫铜业务中，Ni、Zn 等金属适用）。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会议备注：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Scorporo Price：中文含义为标准配方成本价；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Yield ：金属回收率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待办问题：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升贴水录入规范：需规范价格录入方式；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Greenlist 手工调整：需确认调整依据，支持备注调整说明；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 总价差=净重*adder单价；需调整；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需要确认的问题：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为什么要用Scorporo 价格替换？（例如：铜取 </w:t>
      </w:r>
      <w:r>
        <w:rPr>
          <w:rFonts w:eastAsia="Consolas" w:ascii="Consolas" w:cs="Consolas" w:hAnsi="Consolas"/>
          <w:sz w:val="22"/>
          <w:shd w:fill="EFF0F1"/>
        </w:rPr>
        <w:t>Scorporo_Cu</w:t>
      </w:r>
      <w:r>
        <w:rPr>
          <w:rFonts w:eastAsia="等线" w:ascii="Arial" w:cs="Arial" w:hAnsi="Arial"/>
          <w:sz w:val="22"/>
        </w:rPr>
        <w:t xml:space="preserve">，锌取 </w:t>
      </w:r>
      <w:r>
        <w:rPr>
          <w:rFonts w:eastAsia="Consolas" w:ascii="Consolas" w:cs="Consolas" w:hAnsi="Consolas"/>
          <w:sz w:val="22"/>
          <w:shd w:fill="EFF0F1"/>
        </w:rPr>
        <w:t>Scorporo_Zn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市场的价差没有取到情况，采用Scorporo 价差来替代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升贴水明细表：利息计算符号问题，应该是减；运费符号问题，应该是加（需和eric确认）；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9523">
    <w:lvl>
      <w:numFmt w:val="bullet"/>
      <w:suff w:val="tab"/>
      <w:lvlText w:val="•"/>
      <w:rPr>
        <w:color w:val="3370ff"/>
      </w:rPr>
    </w:lvl>
  </w:abstractNum>
  <w:abstractNum w:abstractNumId="79524">
    <w:lvl>
      <w:numFmt w:val="bullet"/>
      <w:suff w:val="tab"/>
      <w:lvlText w:val="•"/>
      <w:rPr>
        <w:color w:val="3370ff"/>
      </w:rPr>
    </w:lvl>
  </w:abstractNum>
  <w:abstractNum w:abstractNumId="79525">
    <w:lvl>
      <w:numFmt w:val="bullet"/>
      <w:suff w:val="tab"/>
      <w:lvlText w:val="•"/>
      <w:rPr>
        <w:color w:val="3370ff"/>
      </w:rPr>
    </w:lvl>
  </w:abstractNum>
  <w:abstractNum w:abstractNumId="79526">
    <w:lvl>
      <w:numFmt w:val="bullet"/>
      <w:suff w:val="tab"/>
      <w:lvlText w:val="•"/>
      <w:rPr>
        <w:color w:val="3370ff"/>
      </w:rPr>
    </w:lvl>
  </w:abstractNum>
  <w:abstractNum w:abstractNumId="79527">
    <w:lvl>
      <w:numFmt w:val="bullet"/>
      <w:suff w:val="tab"/>
      <w:lvlText w:val="•"/>
      <w:rPr>
        <w:color w:val="3370ff"/>
      </w:rPr>
    </w:lvl>
  </w:abstractNum>
  <w:abstractNum w:abstractNumId="79528">
    <w:lvl>
      <w:numFmt w:val="bullet"/>
      <w:suff w:val="tab"/>
      <w:lvlText w:val="•"/>
      <w:rPr>
        <w:color w:val="3370ff"/>
      </w:rPr>
    </w:lvl>
  </w:abstractNum>
  <w:abstractNum w:abstractNumId="79529">
    <w:lvl>
      <w:numFmt w:val="bullet"/>
      <w:suff w:val="tab"/>
      <w:lvlText w:val="•"/>
      <w:rPr>
        <w:color w:val="3370ff"/>
      </w:rPr>
    </w:lvl>
  </w:abstractNum>
  <w:abstractNum w:abstractNumId="79530">
    <w:lvl>
      <w:numFmt w:val="bullet"/>
      <w:suff w:val="tab"/>
      <w:lvlText w:val="•"/>
      <w:rPr>
        <w:color w:val="3370ff"/>
      </w:rPr>
    </w:lvl>
  </w:abstractNum>
  <w:abstractNum w:abstractNumId="79531">
    <w:lvl>
      <w:numFmt w:val="bullet"/>
      <w:suff w:val="tab"/>
      <w:lvlText w:val="•"/>
      <w:rPr>
        <w:color w:val="3370ff"/>
      </w:rPr>
    </w:lvl>
  </w:abstractNum>
  <w:abstractNum w:abstractNumId="79532">
    <w:lvl>
      <w:numFmt w:val="bullet"/>
      <w:suff w:val="tab"/>
      <w:lvlText w:val="•"/>
      <w:rPr>
        <w:color w:val="3370ff"/>
      </w:rPr>
    </w:lvl>
  </w:abstractNum>
  <w:abstractNum w:abstractNumId="79533">
    <w:lvl>
      <w:numFmt w:val="bullet"/>
      <w:suff w:val="tab"/>
      <w:lvlText w:val="•"/>
      <w:rPr>
        <w:color w:val="3370ff"/>
      </w:rPr>
    </w:lvl>
  </w:abstractNum>
  <w:abstractNum w:abstractNumId="79534">
    <w:lvl>
      <w:numFmt w:val="bullet"/>
      <w:suff w:val="tab"/>
      <w:lvlText w:val="•"/>
      <w:rPr>
        <w:color w:val="3370ff"/>
      </w:rPr>
    </w:lvl>
  </w:abstractNum>
  <w:abstractNum w:abstractNumId="79535">
    <w:lvl>
      <w:numFmt w:val="bullet"/>
      <w:suff w:val="tab"/>
      <w:lvlText w:val="•"/>
      <w:rPr>
        <w:color w:val="3370ff"/>
      </w:rPr>
    </w:lvl>
  </w:abstractNum>
  <w:abstractNum w:abstractNumId="79536">
    <w:lvl>
      <w:numFmt w:val="bullet"/>
      <w:suff w:val="tab"/>
      <w:lvlText w:val="•"/>
      <w:rPr>
        <w:color w:val="3370ff"/>
      </w:rPr>
    </w:lvl>
  </w:abstractNum>
  <w:abstractNum w:abstractNumId="79537">
    <w:lvl>
      <w:numFmt w:val="bullet"/>
      <w:suff w:val="tab"/>
      <w:lvlText w:val="•"/>
      <w:rPr>
        <w:color w:val="3370ff"/>
      </w:rPr>
    </w:lvl>
  </w:abstractNum>
  <w:abstractNum w:abstractNumId="79538">
    <w:lvl>
      <w:numFmt w:val="bullet"/>
      <w:suff w:val="tab"/>
      <w:lvlText w:val="￮"/>
      <w:rPr>
        <w:color w:val="3370ff"/>
      </w:rPr>
    </w:lvl>
  </w:abstractNum>
  <w:abstractNum w:abstractNumId="79539">
    <w:lvl>
      <w:numFmt w:val="bullet"/>
      <w:suff w:val="tab"/>
      <w:lvlText w:val="￮"/>
      <w:rPr>
        <w:color w:val="3370ff"/>
      </w:rPr>
    </w:lvl>
  </w:abstractNum>
  <w:abstractNum w:abstractNumId="79540">
    <w:lvl>
      <w:numFmt w:val="bullet"/>
      <w:suff w:val="tab"/>
      <w:lvlText w:val="￮"/>
      <w:rPr>
        <w:color w:val="3370ff"/>
      </w:rPr>
    </w:lvl>
  </w:abstractNum>
  <w:abstractNum w:abstractNumId="79541">
    <w:lvl>
      <w:numFmt w:val="bullet"/>
      <w:suff w:val="tab"/>
      <w:lvlText w:val="•"/>
      <w:rPr>
        <w:color w:val="3370ff"/>
      </w:rPr>
    </w:lvl>
  </w:abstractNum>
  <w:abstractNum w:abstractNumId="79542">
    <w:lvl>
      <w:numFmt w:val="bullet"/>
      <w:suff w:val="tab"/>
      <w:lvlText w:val="•"/>
      <w:rPr>
        <w:color w:val="3370ff"/>
      </w:rPr>
    </w:lvl>
  </w:abstractNum>
  <w:abstractNum w:abstractNumId="79543">
    <w:lvl>
      <w:numFmt w:val="bullet"/>
      <w:suff w:val="tab"/>
      <w:lvlText w:val="￮"/>
      <w:rPr>
        <w:color w:val="3370ff"/>
      </w:rPr>
    </w:lvl>
  </w:abstractNum>
  <w:abstractNum w:abstractNumId="79544">
    <w:lvl>
      <w:numFmt w:val="bullet"/>
      <w:suff w:val="tab"/>
      <w:lvlText w:val="￮"/>
      <w:rPr>
        <w:color w:val="3370ff"/>
      </w:rPr>
    </w:lvl>
  </w:abstractNum>
  <w:abstractNum w:abstractNumId="79545">
    <w:lvl>
      <w:numFmt w:val="bullet"/>
      <w:suff w:val="tab"/>
      <w:lvlText w:val="•"/>
      <w:rPr>
        <w:color w:val="3370ff"/>
      </w:rPr>
    </w:lvl>
  </w:abstractNum>
  <w:abstractNum w:abstractNumId="79546">
    <w:lvl>
      <w:numFmt w:val="bullet"/>
      <w:suff w:val="tab"/>
      <w:lvlText w:val="•"/>
      <w:rPr>
        <w:color w:val="3370ff"/>
      </w:rPr>
    </w:lvl>
  </w:abstractNum>
  <w:abstractNum w:abstractNumId="79547">
    <w:lvl>
      <w:start w:val="1"/>
      <w:numFmt w:val="decimal"/>
      <w:suff w:val="tab"/>
      <w:lvlText w:val="%1."/>
      <w:rPr>
        <w:color w:val="3370ff"/>
      </w:rPr>
    </w:lvl>
  </w:abstractNum>
  <w:abstractNum w:abstractNumId="79548">
    <w:lvl>
      <w:numFmt w:val="bullet"/>
      <w:suff w:val="tab"/>
      <w:lvlText w:val="•"/>
      <w:rPr>
        <w:color w:val="3370ff"/>
      </w:rPr>
    </w:lvl>
  </w:abstractNum>
  <w:abstractNum w:abstractNumId="79549">
    <w:lvl>
      <w:numFmt w:val="bullet"/>
      <w:suff w:val="tab"/>
      <w:lvlText w:val="•"/>
      <w:rPr>
        <w:color w:val="3370ff"/>
      </w:rPr>
    </w:lvl>
  </w:abstractNum>
  <w:abstractNum w:abstractNumId="79550">
    <w:lvl>
      <w:start w:val="1"/>
      <w:numFmt w:val="decimal"/>
      <w:suff w:val="tab"/>
      <w:lvlText w:val="%1."/>
      <w:rPr>
        <w:color w:val="3370ff"/>
      </w:rPr>
    </w:lvl>
  </w:abstractNum>
  <w:abstractNum w:abstractNumId="79551">
    <w:lvl>
      <w:start w:val="2"/>
      <w:numFmt w:val="decimal"/>
      <w:suff w:val="tab"/>
      <w:lvlText w:val="%1."/>
      <w:rPr>
        <w:color w:val="3370ff"/>
      </w:rPr>
    </w:lvl>
  </w:abstractNum>
  <w:abstractNum w:abstractNumId="79552">
    <w:lvl>
      <w:numFmt w:val="bullet"/>
      <w:suff w:val="tab"/>
      <w:lvlText w:val="•"/>
      <w:rPr>
        <w:color w:val="3370ff"/>
      </w:rPr>
    </w:lvl>
  </w:abstractNum>
  <w:abstractNum w:abstractNumId="79553">
    <w:lvl>
      <w:start w:val="1"/>
      <w:numFmt w:val="decimal"/>
      <w:suff w:val="tab"/>
      <w:lvlText w:val="%1."/>
      <w:rPr>
        <w:color w:val="3370ff"/>
      </w:rPr>
    </w:lvl>
  </w:abstractNum>
  <w:abstractNum w:abstractNumId="79554">
    <w:lvl>
      <w:numFmt w:val="bullet"/>
      <w:suff w:val="tab"/>
      <w:lvlText w:val="•"/>
      <w:rPr>
        <w:color w:val="3370ff"/>
      </w:rPr>
    </w:lvl>
  </w:abstractNum>
  <w:abstractNum w:abstractNumId="79555">
    <w:lvl>
      <w:numFmt w:val="bullet"/>
      <w:suff w:val="tab"/>
      <w:lvlText w:val="•"/>
      <w:rPr>
        <w:color w:val="3370ff"/>
      </w:rPr>
    </w:lvl>
  </w:abstractNum>
  <w:abstractNum w:abstractNumId="79556">
    <w:lvl>
      <w:numFmt w:val="bullet"/>
      <w:suff w:val="tab"/>
      <w:lvlText w:val="•"/>
      <w:rPr>
        <w:color w:val="3370ff"/>
      </w:rPr>
    </w:lvl>
  </w:abstractNum>
  <w:abstractNum w:abstractNumId="79557">
    <w:lvl>
      <w:start w:val="1"/>
      <w:numFmt w:val="decimal"/>
      <w:suff w:val="tab"/>
      <w:lvlText w:val="%1."/>
      <w:rPr>
        <w:color w:val="3370ff"/>
      </w:rPr>
    </w:lvl>
  </w:abstractNum>
  <w:abstractNum w:abstractNumId="79558">
    <w:lvl>
      <w:numFmt w:val="bullet"/>
      <w:suff w:val="tab"/>
      <w:lvlText w:val="•"/>
      <w:rPr>
        <w:color w:val="3370ff"/>
      </w:rPr>
    </w:lvl>
  </w:abstractNum>
  <w:abstractNum w:abstractNumId="79559">
    <w:lvl>
      <w:numFmt w:val="bullet"/>
      <w:suff w:val="tab"/>
      <w:lvlText w:val="•"/>
      <w:rPr>
        <w:color w:val="3370ff"/>
      </w:rPr>
    </w:lvl>
  </w:abstractNum>
  <w:abstractNum w:abstractNumId="79560">
    <w:lvl>
      <w:numFmt w:val="bullet"/>
      <w:suff w:val="tab"/>
      <w:lvlText w:val="￮"/>
      <w:rPr>
        <w:color w:val="3370ff"/>
      </w:rPr>
    </w:lvl>
  </w:abstractNum>
  <w:abstractNum w:abstractNumId="79561">
    <w:lvl>
      <w:numFmt w:val="bullet"/>
      <w:suff w:val="tab"/>
      <w:lvlText w:val="￮"/>
      <w:rPr>
        <w:color w:val="3370ff"/>
      </w:rPr>
    </w:lvl>
  </w:abstractNum>
  <w:abstractNum w:abstractNumId="79562">
    <w:lvl>
      <w:numFmt w:val="bullet"/>
      <w:suff w:val="tab"/>
      <w:lvlText w:val="▪"/>
      <w:rPr>
        <w:color w:val="3370ff"/>
        <w:sz w:val="11"/>
      </w:rPr>
    </w:lvl>
  </w:abstractNum>
  <w:abstractNum w:abstractNumId="79563">
    <w:lvl>
      <w:numFmt w:val="bullet"/>
      <w:suff w:val="tab"/>
      <w:lvlText w:val="▪"/>
      <w:rPr>
        <w:color w:val="3370ff"/>
        <w:sz w:val="11"/>
      </w:rPr>
    </w:lvl>
  </w:abstractNum>
  <w:abstractNum w:abstractNumId="79564">
    <w:lvl>
      <w:start w:val="1"/>
      <w:numFmt w:val="decimal"/>
      <w:suff w:val="tab"/>
      <w:lvlText w:val="%1."/>
      <w:rPr>
        <w:color w:val="3370ff"/>
      </w:rPr>
    </w:lvl>
  </w:abstractNum>
  <w:abstractNum w:abstractNumId="79565">
    <w:lvl>
      <w:start w:val="2"/>
      <w:numFmt w:val="decimal"/>
      <w:suff w:val="tab"/>
      <w:lvlText w:val="%1."/>
      <w:rPr>
        <w:color w:val="3370ff"/>
      </w:rPr>
    </w:lvl>
  </w:abstractNum>
  <w:abstractNum w:abstractNumId="79566">
    <w:lvl>
      <w:start w:val="3"/>
      <w:numFmt w:val="decimal"/>
      <w:suff w:val="tab"/>
      <w:lvlText w:val="%1."/>
      <w:rPr>
        <w:color w:val="3370ff"/>
      </w:rPr>
    </w:lvl>
  </w:abstractNum>
  <w:abstractNum w:abstractNumId="79567">
    <w:lvl>
      <w:numFmt w:val="bullet"/>
      <w:suff w:val="tab"/>
      <w:lvlText w:val="•"/>
      <w:rPr>
        <w:color w:val="3370ff"/>
      </w:rPr>
    </w:lvl>
  </w:abstractNum>
  <w:abstractNum w:abstractNumId="79568">
    <w:lvl>
      <w:numFmt w:val="bullet"/>
      <w:suff w:val="tab"/>
      <w:lvlText w:val="•"/>
      <w:rPr>
        <w:color w:val="3370ff"/>
      </w:rPr>
    </w:lvl>
  </w:abstractNum>
  <w:abstractNum w:abstractNumId="79569">
    <w:lvl>
      <w:numFmt w:val="bullet"/>
      <w:suff w:val="tab"/>
      <w:lvlText w:val="•"/>
      <w:rPr>
        <w:color w:val="3370ff"/>
      </w:rPr>
    </w:lvl>
  </w:abstractNum>
  <w:abstractNum w:abstractNumId="79570">
    <w:lvl>
      <w:start w:val="1"/>
      <w:numFmt w:val="decimal"/>
      <w:suff w:val="tab"/>
      <w:lvlText w:val="%1."/>
      <w:rPr>
        <w:color w:val="3370ff"/>
      </w:rPr>
    </w:lvl>
  </w:abstractNum>
  <w:abstractNum w:abstractNumId="79571">
    <w:lvl>
      <w:start w:val="2"/>
      <w:numFmt w:val="decimal"/>
      <w:suff w:val="tab"/>
      <w:lvlText w:val="%1."/>
      <w:rPr>
        <w:color w:val="3370ff"/>
      </w:rPr>
    </w:lvl>
  </w:abstractNum>
  <w:abstractNum w:abstractNumId="79572">
    <w:lvl>
      <w:start w:val="3"/>
      <w:numFmt w:val="decimal"/>
      <w:suff w:val="tab"/>
      <w:lvlText w:val="%1."/>
      <w:rPr>
        <w:color w:val="3370ff"/>
      </w:rPr>
    </w:lvl>
  </w:abstractNum>
  <w:abstractNum w:abstractNumId="79573">
    <w:lvl>
      <w:start w:val="4"/>
      <w:numFmt w:val="decimal"/>
      <w:suff w:val="tab"/>
      <w:lvlText w:val="%1."/>
      <w:rPr>
        <w:color w:val="3370ff"/>
      </w:rPr>
    </w:lvl>
  </w:abstractNum>
  <w:abstractNum w:abstractNumId="79574">
    <w:lvl>
      <w:numFmt w:val="bullet"/>
      <w:suff w:val="tab"/>
      <w:lvlText w:val="•"/>
      <w:rPr>
        <w:color w:val="3370ff"/>
      </w:rPr>
    </w:lvl>
  </w:abstractNum>
  <w:abstractNum w:abstractNumId="79575">
    <w:lvl>
      <w:numFmt w:val="bullet"/>
      <w:suff w:val="tab"/>
      <w:lvlText w:val="•"/>
      <w:rPr>
        <w:color w:val="3370ff"/>
      </w:rPr>
    </w:lvl>
  </w:abstractNum>
  <w:abstractNum w:abstractNumId="79576">
    <w:lvl>
      <w:numFmt w:val="bullet"/>
      <w:suff w:val="tab"/>
      <w:lvlText w:val="￮"/>
      <w:rPr>
        <w:color w:val="3370ff"/>
      </w:rPr>
    </w:lvl>
  </w:abstractNum>
  <w:abstractNum w:abstractNumId="79577">
    <w:lvl>
      <w:numFmt w:val="bullet"/>
      <w:suff w:val="tab"/>
      <w:lvlText w:val="￮"/>
      <w:rPr>
        <w:color w:val="3370ff"/>
      </w:rPr>
    </w:lvl>
  </w:abstractNum>
  <w:abstractNum w:abstractNumId="79578">
    <w:lvl>
      <w:start w:val="1"/>
      <w:numFmt w:val="decimal"/>
      <w:suff w:val="tab"/>
      <w:lvlText w:val="%1."/>
      <w:rPr>
        <w:color w:val="3370ff"/>
      </w:rPr>
    </w:lvl>
  </w:abstractNum>
  <w:abstractNum w:abstractNumId="79579">
    <w:lvl>
      <w:start w:val="2"/>
      <w:numFmt w:val="decimal"/>
      <w:suff w:val="tab"/>
      <w:lvlText w:val="%1."/>
      <w:rPr>
        <w:color w:val="3370ff"/>
      </w:rPr>
    </w:lvl>
  </w:abstractNum>
  <w:abstractNum w:abstractNumId="79580">
    <w:lvl>
      <w:numFmt w:val="bullet"/>
      <w:suff w:val="tab"/>
      <w:lvlText w:val="•"/>
      <w:rPr>
        <w:color w:val="3370ff"/>
      </w:rPr>
    </w:lvl>
  </w:abstractNum>
  <w:abstractNum w:abstractNumId="79581">
    <w:lvl>
      <w:numFmt w:val="bullet"/>
      <w:suff w:val="tab"/>
      <w:lvlText w:val="•"/>
      <w:rPr>
        <w:color w:val="3370ff"/>
      </w:rPr>
    </w:lvl>
  </w:abstractNum>
  <w:abstractNum w:abstractNumId="79582">
    <w:lvl>
      <w:numFmt w:val="bullet"/>
      <w:suff w:val="tab"/>
      <w:lvlText w:val="•"/>
      <w:rPr>
        <w:color w:val="3370ff"/>
      </w:rPr>
    </w:lvl>
  </w:abstractNum>
  <w:abstractNum w:abstractNumId="79583">
    <w:lvl>
      <w:numFmt w:val="bullet"/>
      <w:suff w:val="tab"/>
      <w:lvlText w:val="•"/>
      <w:rPr>
        <w:color w:val="3370ff"/>
      </w:rPr>
    </w:lvl>
  </w:abstractNum>
  <w:abstractNum w:abstractNumId="79584">
    <w:lvl>
      <w:numFmt w:val="bullet"/>
      <w:suff w:val="tab"/>
      <w:lvlText w:val="￮"/>
      <w:rPr>
        <w:color w:val="3370ff"/>
      </w:rPr>
    </w:lvl>
  </w:abstractNum>
  <w:abstractNum w:abstractNumId="79585">
    <w:lvl>
      <w:numFmt w:val="bullet"/>
      <w:suff w:val="tab"/>
      <w:lvlText w:val="￮"/>
      <w:rPr>
        <w:color w:val="3370ff"/>
      </w:rPr>
    </w:lvl>
  </w:abstractNum>
  <w:abstractNum w:abstractNumId="79586">
    <w:lvl>
      <w:numFmt w:val="bullet"/>
      <w:suff w:val="tab"/>
      <w:lvlText w:val="￮"/>
      <w:rPr>
        <w:color w:val="3370ff"/>
      </w:rPr>
    </w:lvl>
  </w:abstractNum>
  <w:abstractNum w:abstractNumId="79587">
    <w:lvl>
      <w:numFmt w:val="bullet"/>
      <w:suff w:val="tab"/>
      <w:lvlText w:val="•"/>
      <w:rPr>
        <w:color w:val="3370ff"/>
      </w:rPr>
    </w:lvl>
  </w:abstractNum>
  <w:abstractNum w:abstractNumId="79588">
    <w:lvl>
      <w:numFmt w:val="bullet"/>
      <w:suff w:val="tab"/>
      <w:lvlText w:val="•"/>
      <w:rPr>
        <w:color w:val="3370ff"/>
      </w:rPr>
    </w:lvl>
  </w:abstractNum>
  <w:abstractNum w:abstractNumId="79589">
    <w:lvl>
      <w:numFmt w:val="bullet"/>
      <w:suff w:val="tab"/>
      <w:lvlText w:val="•"/>
      <w:rPr>
        <w:color w:val="3370ff"/>
      </w:rPr>
    </w:lvl>
  </w:abstractNum>
  <w:abstractNum w:abstractNumId="79590">
    <w:lvl>
      <w:numFmt w:val="bullet"/>
      <w:suff w:val="tab"/>
      <w:lvlText w:val="•"/>
      <w:rPr>
        <w:color w:val="3370ff"/>
      </w:rPr>
    </w:lvl>
  </w:abstractNum>
  <w:abstractNum w:abstractNumId="79591">
    <w:lvl>
      <w:numFmt w:val="bullet"/>
      <w:suff w:val="tab"/>
      <w:lvlText w:val="•"/>
      <w:rPr>
        <w:color w:val="3370ff"/>
      </w:rPr>
    </w:lvl>
  </w:abstractNum>
  <w:abstractNum w:abstractNumId="79592">
    <w:lvl>
      <w:start w:val="1"/>
      <w:numFmt w:val="decimal"/>
      <w:suff w:val="tab"/>
      <w:lvlText w:val="%1."/>
      <w:rPr>
        <w:color w:val="3370ff"/>
      </w:rPr>
    </w:lvl>
  </w:abstractNum>
  <w:abstractNum w:abstractNumId="79593">
    <w:lvl>
      <w:numFmt w:val="bullet"/>
      <w:suff w:val="tab"/>
      <w:lvlText w:val="•"/>
      <w:rPr>
        <w:color w:val="3370ff"/>
      </w:rPr>
    </w:lvl>
  </w:abstractNum>
  <w:abstractNum w:abstractNumId="79594">
    <w:lvl>
      <w:numFmt w:val="bullet"/>
      <w:suff w:val="tab"/>
      <w:lvlText w:val="•"/>
      <w:rPr>
        <w:color w:val="3370ff"/>
      </w:rPr>
    </w:lvl>
  </w:abstractNum>
  <w:abstractNum w:abstractNumId="79595">
    <w:lvl>
      <w:numFmt w:val="bullet"/>
      <w:suff w:val="tab"/>
      <w:lvlText w:val="•"/>
      <w:rPr>
        <w:color w:val="3370ff"/>
      </w:rPr>
    </w:lvl>
  </w:abstractNum>
  <w:abstractNum w:abstractNumId="79596">
    <w:lvl>
      <w:numFmt w:val="bullet"/>
      <w:suff w:val="tab"/>
      <w:lvlText w:val="•"/>
      <w:rPr>
        <w:color w:val="3370ff"/>
      </w:rPr>
    </w:lvl>
  </w:abstractNum>
  <w:abstractNum w:abstractNumId="79597">
    <w:lvl>
      <w:numFmt w:val="bullet"/>
      <w:suff w:val="tab"/>
      <w:lvlText w:val="•"/>
      <w:rPr>
        <w:color w:val="3370ff"/>
      </w:rPr>
    </w:lvl>
  </w:abstractNum>
  <w:abstractNum w:abstractNumId="79598">
    <w:lvl>
      <w:numFmt w:val="bullet"/>
      <w:suff w:val="tab"/>
      <w:lvlText w:val="•"/>
      <w:rPr>
        <w:color w:val="3370ff"/>
      </w:rPr>
    </w:lvl>
  </w:abstractNum>
  <w:abstractNum w:abstractNumId="79599">
    <w:lvl>
      <w:numFmt w:val="bullet"/>
      <w:suff w:val="tab"/>
      <w:lvlText w:val="•"/>
      <w:rPr>
        <w:color w:val="3370ff"/>
      </w:rPr>
    </w:lvl>
  </w:abstractNum>
  <w:abstractNum w:abstractNumId="79600">
    <w:lvl>
      <w:numFmt w:val="bullet"/>
      <w:suff w:val="tab"/>
      <w:lvlText w:val="•"/>
      <w:rPr>
        <w:color w:val="3370ff"/>
      </w:rPr>
    </w:lvl>
  </w:abstractNum>
  <w:abstractNum w:abstractNumId="79601">
    <w:lvl>
      <w:start w:val="1"/>
      <w:numFmt w:val="decimal"/>
      <w:suff w:val="tab"/>
      <w:lvlText w:val="%1."/>
      <w:rPr>
        <w:color w:val="3370ff"/>
      </w:rPr>
    </w:lvl>
  </w:abstractNum>
  <w:abstractNum w:abstractNumId="7960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9523"/>
  </w:num>
  <w:num w:numId="2">
    <w:abstractNumId w:val="79524"/>
  </w:num>
  <w:num w:numId="3">
    <w:abstractNumId w:val="79525"/>
  </w:num>
  <w:num w:numId="4">
    <w:abstractNumId w:val="79526"/>
  </w:num>
  <w:num w:numId="5">
    <w:abstractNumId w:val="79527"/>
  </w:num>
  <w:num w:numId="6">
    <w:abstractNumId w:val="79528"/>
  </w:num>
  <w:num w:numId="7">
    <w:abstractNumId w:val="79529"/>
  </w:num>
  <w:num w:numId="8">
    <w:abstractNumId w:val="79530"/>
  </w:num>
  <w:num w:numId="9">
    <w:abstractNumId w:val="79531"/>
  </w:num>
  <w:num w:numId="10">
    <w:abstractNumId w:val="79532"/>
  </w:num>
  <w:num w:numId="11">
    <w:abstractNumId w:val="79533"/>
  </w:num>
  <w:num w:numId="12">
    <w:abstractNumId w:val="79534"/>
  </w:num>
  <w:num w:numId="13">
    <w:abstractNumId w:val="79535"/>
  </w:num>
  <w:num w:numId="14">
    <w:abstractNumId w:val="79536"/>
  </w:num>
  <w:num w:numId="15">
    <w:abstractNumId w:val="79537"/>
  </w:num>
  <w:num w:numId="16">
    <w:abstractNumId w:val="79538"/>
  </w:num>
  <w:num w:numId="17">
    <w:abstractNumId w:val="79539"/>
  </w:num>
  <w:num w:numId="18">
    <w:abstractNumId w:val="79540"/>
  </w:num>
  <w:num w:numId="19">
    <w:abstractNumId w:val="79541"/>
  </w:num>
  <w:num w:numId="20">
    <w:abstractNumId w:val="79542"/>
  </w:num>
  <w:num w:numId="21">
    <w:abstractNumId w:val="79543"/>
  </w:num>
  <w:num w:numId="22">
    <w:abstractNumId w:val="79544"/>
  </w:num>
  <w:num w:numId="23">
    <w:abstractNumId w:val="79545"/>
  </w:num>
  <w:num w:numId="24">
    <w:abstractNumId w:val="79546"/>
  </w:num>
  <w:num w:numId="25">
    <w:abstractNumId w:val="79547"/>
  </w:num>
  <w:num w:numId="26">
    <w:abstractNumId w:val="79548"/>
  </w:num>
  <w:num w:numId="27">
    <w:abstractNumId w:val="79549"/>
  </w:num>
  <w:num w:numId="28">
    <w:abstractNumId w:val="79550"/>
  </w:num>
  <w:num w:numId="29">
    <w:abstractNumId w:val="79551"/>
  </w:num>
  <w:num w:numId="30">
    <w:abstractNumId w:val="79552"/>
  </w:num>
  <w:num w:numId="31">
    <w:abstractNumId w:val="79553"/>
  </w:num>
  <w:num w:numId="32">
    <w:abstractNumId w:val="79554"/>
  </w:num>
  <w:num w:numId="33">
    <w:abstractNumId w:val="79555"/>
  </w:num>
  <w:num w:numId="34">
    <w:abstractNumId w:val="79556"/>
  </w:num>
  <w:num w:numId="35">
    <w:abstractNumId w:val="79557"/>
  </w:num>
  <w:num w:numId="36">
    <w:abstractNumId w:val="79558"/>
  </w:num>
  <w:num w:numId="37">
    <w:abstractNumId w:val="79559"/>
  </w:num>
  <w:num w:numId="38">
    <w:abstractNumId w:val="79560"/>
  </w:num>
  <w:num w:numId="39">
    <w:abstractNumId w:val="79561"/>
  </w:num>
  <w:num w:numId="40">
    <w:abstractNumId w:val="79562"/>
  </w:num>
  <w:num w:numId="41">
    <w:abstractNumId w:val="79563"/>
  </w:num>
  <w:num w:numId="42">
    <w:abstractNumId w:val="79564"/>
  </w:num>
  <w:num w:numId="43">
    <w:abstractNumId w:val="79565"/>
  </w:num>
  <w:num w:numId="44">
    <w:abstractNumId w:val="79566"/>
  </w:num>
  <w:num w:numId="45">
    <w:abstractNumId w:val="79567"/>
  </w:num>
  <w:num w:numId="46">
    <w:abstractNumId w:val="79568"/>
  </w:num>
  <w:num w:numId="47">
    <w:abstractNumId w:val="79569"/>
  </w:num>
  <w:num w:numId="48">
    <w:abstractNumId w:val="79570"/>
  </w:num>
  <w:num w:numId="49">
    <w:abstractNumId w:val="79571"/>
  </w:num>
  <w:num w:numId="50">
    <w:abstractNumId w:val="79572"/>
  </w:num>
  <w:num w:numId="51">
    <w:abstractNumId w:val="79573"/>
  </w:num>
  <w:num w:numId="52">
    <w:abstractNumId w:val="79574"/>
  </w:num>
  <w:num w:numId="53">
    <w:abstractNumId w:val="79575"/>
  </w:num>
  <w:num w:numId="54">
    <w:abstractNumId w:val="79576"/>
  </w:num>
  <w:num w:numId="55">
    <w:abstractNumId w:val="79577"/>
  </w:num>
  <w:num w:numId="56">
    <w:abstractNumId w:val="79578"/>
  </w:num>
  <w:num w:numId="57">
    <w:abstractNumId w:val="79579"/>
  </w:num>
  <w:num w:numId="58">
    <w:abstractNumId w:val="79580"/>
  </w:num>
  <w:num w:numId="59">
    <w:abstractNumId w:val="79581"/>
  </w:num>
  <w:num w:numId="60">
    <w:abstractNumId w:val="79582"/>
  </w:num>
  <w:num w:numId="61">
    <w:abstractNumId w:val="79583"/>
  </w:num>
  <w:num w:numId="62">
    <w:abstractNumId w:val="79584"/>
  </w:num>
  <w:num w:numId="63">
    <w:abstractNumId w:val="79585"/>
  </w:num>
  <w:num w:numId="64">
    <w:abstractNumId w:val="79586"/>
  </w:num>
  <w:num w:numId="65">
    <w:abstractNumId w:val="79587"/>
  </w:num>
  <w:num w:numId="66">
    <w:abstractNumId w:val="79588"/>
  </w:num>
  <w:num w:numId="67">
    <w:abstractNumId w:val="79589"/>
  </w:num>
  <w:num w:numId="68">
    <w:abstractNumId w:val="79590"/>
  </w:num>
  <w:num w:numId="69">
    <w:abstractNumId w:val="79591"/>
  </w:num>
  <w:num w:numId="70">
    <w:abstractNumId w:val="79592"/>
  </w:num>
  <w:num w:numId="71">
    <w:abstractNumId w:val="79593"/>
  </w:num>
  <w:num w:numId="72">
    <w:abstractNumId w:val="79594"/>
  </w:num>
  <w:num w:numId="73">
    <w:abstractNumId w:val="79595"/>
  </w:num>
  <w:num w:numId="74">
    <w:abstractNumId w:val="79596"/>
  </w:num>
  <w:num w:numId="75">
    <w:abstractNumId w:val="79597"/>
  </w:num>
  <w:num w:numId="76">
    <w:abstractNumId w:val="79598"/>
  </w:num>
  <w:num w:numId="77">
    <w:abstractNumId w:val="79599"/>
  </w:num>
  <w:num w:numId="78">
    <w:abstractNumId w:val="79600"/>
  </w:num>
  <w:num w:numId="79">
    <w:abstractNumId w:val="79601"/>
  </w:num>
  <w:num w:numId="80">
    <w:abstractNumId w:val="796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embeddings/Microsoft_Excel_Worksheet2.xlsx" Type="http://schemas.openxmlformats.org/officeDocument/2006/relationships/package"/><Relationship Id="rId13" Target="media/image6.pn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embeddings/Microsoft_Excel_Worksheet4.xlsx" Type="http://schemas.openxmlformats.org/officeDocument/2006/relationships/package"/><Relationship Id="rId18" Target="media/image9.png" Type="http://schemas.openxmlformats.org/officeDocument/2006/relationships/image"/><Relationship Id="rId19" Target="embeddings/Microsoft_Excel_Worksheet5.xlsx" Type="http://schemas.openxmlformats.org/officeDocument/2006/relationships/package"/><Relationship Id="rId2" Target="styles.xml" Type="http://schemas.openxmlformats.org/officeDocument/2006/relationships/styles"/><Relationship Id="rId20" Target="media/image10.png" Type="http://schemas.openxmlformats.org/officeDocument/2006/relationships/image"/><Relationship Id="rId21" Target="media/image11.png" Type="http://schemas.openxmlformats.org/officeDocument/2006/relationships/image"/><Relationship Id="rId22" Target="https://hailiang.feishu.cn/wiki/LReqwB1xTiP0B6kfnrjcWVnAnjR?sheet=7H3V4T" TargetMode="External" Type="http://schemas.openxmlformats.org/officeDocument/2006/relationships/hyperlink"/><Relationship Id="rId23" Target="embeddings/Microsoft_Excel_Worksheet6.xlsx" Type="http://schemas.openxmlformats.org/officeDocument/2006/relationships/package"/><Relationship Id="rId24" Target="media/image12.png" Type="http://schemas.openxmlformats.org/officeDocument/2006/relationships/image"/><Relationship Id="rId25" Target="embeddings/Microsoft_Excel_Worksheet7.xlsx" Type="http://schemas.openxmlformats.org/officeDocument/2006/relationships/package"/><Relationship Id="rId26" Target="media/image13.png" Type="http://schemas.openxmlformats.org/officeDocument/2006/relationships/image"/><Relationship Id="rId27" Target="embeddings/Microsoft_Excel_Worksheet8.xlsx" Type="http://schemas.openxmlformats.org/officeDocument/2006/relationships/package"/><Relationship Id="rId28" Target="media/image14.png" Type="http://schemas.openxmlformats.org/officeDocument/2006/relationships/image"/><Relationship Id="rId29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ailiang.feishu.cn/wiki/KKZDwpgkZiJ8lFkO9qWcLHnGnCg?base_hp_from=shared_record&amp;table=blky2YEUcOuOf0ZD" TargetMode="External" Type="http://schemas.openxmlformats.org/officeDocument/2006/relationships/hyperlink"/><Relationship Id="rId8" Target="embeddings/Microsoft_Excel_Worksheet1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2026-06-12T01:44:23Z</dcterms:created>
  <dc:creator>Apache POI</dc:creator>
</cp:coreProperties>
</file>