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升贴水报表涉及主数据优化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1、报表修改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2.1利率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在对接配置中，配置利率。英文：Interest rate。值4.4%。</w:t>
        <w:br/>
      </w:r>
      <w:r>
        <w:rPr>
          <w:rFonts w:eastAsia="等线" w:ascii="Arial" w:cs="Arial" w:hAnsi="Arial"/>
          <w:sz w:val="22"/>
        </w:rPr>
        <w:t>允许后续修改，发布时不要遗漏该配置。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2.2报表计算利率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910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详情见报表计算逻辑.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2.3报表计算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72050" cy="2724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升贴水明细表，新增3个字段如上图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2、主数据：贸易术语修改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字段说明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列表页新增三个字段，详情-新建、编辑页，也新增这三个字段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2700"/>
        <w:gridCol w:w="2310"/>
        <w:gridCol w:w="204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英文名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 Price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数值文本输入(五位小数)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币种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Currency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主数据下拉选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单价有值后，币种必填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数量单位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 Unit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主数据下拉选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单价有值后，单位必填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原型图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中文版：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33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英文版：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3、主数据：付款条款修改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字段说明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在编辑页新增字段，必填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字段名：Days of interest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中文：计息天数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要求：必须支持正负号显示。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2026-01-13T06:51:21Z</dcterms:created>
  <dc:creator>Apache POI</dc:creator>
</cp:coreProperties>
</file>