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Priya Patel | priya.patel@stateu.edu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Middle Path: Car-Light, Not Car-Free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Mid-sized cities should not ban all private cars from downtown, but they should make their cores car-light: remove most on-street parking, close select streets to through traffic, and prioritize buses, bikes, and pedestrians.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full ban overreaches. Downtown residents, people with mobility impairments, and tradespeople carrying tools all have real needs that a blanket ban ignores. Ghent, Belgium, offers a better model. In 2017 it divided its center into sectors that cars cannot drive between directly; drivers must exit to a ring road to reach another sector. Through traffic dropped sharply, cycling rose by about 25 percent within two years, and residents could still reach their homes by car.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Car-light design also captures most of the safety benefit. Most pedestrian deaths happen on wide, fast roads. Narrowing lanes and lowering speed limits to 20 mph reduces the chance a struck pedestrian dies from roughly one in two at 40 mph to about one in 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Critics of the car-light approach say it is a half-measure, and that only a full ban forces behavior change. But policies that people reject get reversed, as the many failed American pedestrian malls of the 1970s show. Gradual, flexible change is more likely to last.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Downtowns need fewer cars, not zero cars. Car-light policies deliver safety, cleaner air, and livelier streets while keeping access for those who depend on driving.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Essay 1 - Priya Patel</dc:title>
  <dc:creator>Priya Patel</dc:creator>
</cp:coreProperties>
</file>

<file path=docProps/meta.xml><?xml version="1.0" encoding="utf-8"?>
<meta xmlns="http://schemas.apple.com/cocoa/2006/metadata">
  <generator>CocoaOOXMLWriter/2685.6</generator>
</meta>
</file>