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BlueCart - Procedure gestion reclamation</w:t>
      </w:r>
    </w:p>
    <w:p>
      <w:r>
        <w:t xml:space="preserve">1. Identifier categorie de la demande.</w:t>
      </w:r>
    </w:p>
    <w:p>
      <w:r>
        <w:t xml:space="preserve">2. Verifier historique commande.</w:t>
      </w:r>
    </w:p>
    <w:p>
      <w:r>
        <w:t xml:space="preserve">3. Proposer solution conforme a la politique retour.</w:t>
      </w:r>
    </w:p>
    <w:p>
      <w:r>
        <w:t xml:space="preserve">4. Escalader si litige paiement.</w:t>
      </w:r>
    </w:p>
    <w:sectPr/>
  </w:body>
</w:document>
</file>