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Novalys Santé - Procedure reponse patient</w:t>
      </w:r>
    </w:p>
    <w:p>
      <w:r>
        <w:t xml:space="preserve">1. Identifier le type de demande.</w:t>
      </w:r>
    </w:p>
    <w:p>
      <w:r>
        <w:t xml:space="preserve">2. Evaluer le niveau de risque.</w:t>
      </w:r>
    </w:p>
    <w:p>
      <w:r>
        <w:t xml:space="preserve">3. Fournir une reponse empathique et actionnable.</w:t>
      </w:r>
    </w:p>
    <w:p>
      <w:r>
        <w:t xml:space="preserve">4. Escalader en cas de signal clinique.</w:t>
      </w:r>
    </w:p>
    <w:sectPr/>
  </w:body>
</w:document>
</file>