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1293" w:right="28" w:hanging="1259"/>
        <w:spacing w:before="117" w:line="256" w:lineRule="auto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5"/>
        </w:rPr>
        <w:t>监管规则适用指引——境外发行上市类第</w:t>
      </w:r>
      <w:r>
        <w:rPr>
          <w:rFonts w:ascii="SimSun" w:hAnsi="SimSun" w:eastAsia="SimSun" w:cs="SimSun"/>
          <w:sz w:val="36"/>
          <w:szCs w:val="36"/>
          <w:spacing w:val="-79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-5"/>
        </w:rPr>
        <w:t>6</w:t>
      </w:r>
      <w:r>
        <w:rPr>
          <w:rFonts w:ascii="SimSun" w:hAnsi="SimSun" w:eastAsia="SimSun" w:cs="SimSun"/>
          <w:sz w:val="36"/>
          <w:szCs w:val="36"/>
          <w:spacing w:val="-83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-5"/>
        </w:rPr>
        <w:t>号：境内</w:t>
      </w:r>
      <w:r>
        <w:rPr>
          <w:rFonts w:ascii="SimSun" w:hAnsi="SimSun" w:eastAsia="SimSun" w:cs="SimSun"/>
          <w:sz w:val="36"/>
          <w:szCs w:val="36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-5"/>
        </w:rPr>
        <w:t>上市公司境外发行全球存托凭证指引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1" w:right="14" w:firstLine="651"/>
        <w:spacing w:before="133" w:line="251" w:lineRule="auto"/>
        <w:rPr/>
      </w:pPr>
      <w:r>
        <w:rPr>
          <w:spacing w:val="22"/>
        </w:rPr>
        <w:t>为规范境内上市公司境外发行可转换为境内基础股份</w:t>
      </w:r>
      <w:r>
        <w:rPr/>
        <w:t xml:space="preserve"> </w:t>
      </w:r>
      <w:r>
        <w:rPr>
          <w:spacing w:val="3"/>
        </w:rPr>
        <w:t>的存托凭证（ 以下简称全球存托凭证）行为</w:t>
      </w:r>
      <w:r>
        <w:rPr>
          <w:spacing w:val="-37"/>
        </w:rPr>
        <w:t xml:space="preserve"> </w:t>
      </w:r>
      <w:r>
        <w:rPr>
          <w:spacing w:val="3"/>
        </w:rPr>
        <w:t>，根据《中华人</w:t>
      </w:r>
      <w:r>
        <w:rPr/>
        <w:t xml:space="preserve"> </w:t>
      </w:r>
      <w:r>
        <w:rPr>
          <w:spacing w:val="8"/>
        </w:rPr>
        <w:t>民共和国证券法》《境内企业境外发行证券和上市管理试行</w:t>
      </w:r>
      <w:r>
        <w:rPr>
          <w:spacing w:val="16"/>
        </w:rPr>
        <w:t xml:space="preserve"> </w:t>
      </w:r>
      <w:r>
        <w:rPr>
          <w:spacing w:val="6"/>
        </w:rPr>
        <w:t>办法》《存托凭证发行与交易管理办法（试行）</w:t>
      </w:r>
      <w:r>
        <w:rPr>
          <w:spacing w:val="-21"/>
        </w:rPr>
        <w:t xml:space="preserve"> </w:t>
      </w:r>
      <w:r>
        <w:rPr>
          <w:spacing w:val="6"/>
        </w:rPr>
        <w:t>》《上市公</w:t>
      </w:r>
      <w:r>
        <w:rPr/>
        <w:t xml:space="preserve"> </w:t>
      </w:r>
      <w:r>
        <w:rPr>
          <w:spacing w:val="8"/>
        </w:rPr>
        <w:t>司证券发行注册管理办法》《境内外证券交易所互联互通存</w:t>
      </w:r>
      <w:r>
        <w:rPr>
          <w:spacing w:val="17"/>
        </w:rPr>
        <w:t xml:space="preserve"> </w:t>
      </w:r>
      <w:r>
        <w:rPr>
          <w:spacing w:val="2"/>
        </w:rPr>
        <w:t>托凭证业务监管规定》</w:t>
      </w:r>
      <w:r>
        <w:rPr>
          <w:spacing w:val="-44"/>
        </w:rPr>
        <w:t xml:space="preserve"> </w:t>
      </w:r>
      <w:r>
        <w:rPr>
          <w:spacing w:val="2"/>
        </w:rPr>
        <w:t>等规定</w:t>
      </w:r>
      <w:r>
        <w:rPr>
          <w:spacing w:val="-36"/>
        </w:rPr>
        <w:t xml:space="preserve"> </w:t>
      </w:r>
      <w:r>
        <w:rPr>
          <w:spacing w:val="2"/>
        </w:rPr>
        <w:t>，</w:t>
      </w:r>
      <w:r>
        <w:rPr>
          <w:spacing w:val="-65"/>
        </w:rPr>
        <w:t xml:space="preserve"> </w:t>
      </w:r>
      <w:r>
        <w:rPr>
          <w:spacing w:val="2"/>
        </w:rPr>
        <w:t>制定本指引。</w:t>
      </w:r>
    </w:p>
    <w:p>
      <w:pPr>
        <w:ind w:left="672"/>
        <w:spacing w:before="29" w:line="22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一、定位</w:t>
      </w:r>
    </w:p>
    <w:p>
      <w:pPr>
        <w:pStyle w:val="BodyText"/>
        <w:ind w:left="32" w:right="14" w:firstLine="646"/>
        <w:spacing w:before="173" w:line="250" w:lineRule="auto"/>
        <w:rPr/>
      </w:pPr>
      <w:r>
        <w:rPr>
          <w:spacing w:val="8"/>
        </w:rPr>
        <w:t>支持具有一定市值规模、规范运作水平较高的境内上市</w:t>
      </w:r>
      <w:r>
        <w:rPr>
          <w:spacing w:val="4"/>
        </w:rPr>
        <w:t xml:space="preserve"> </w:t>
      </w:r>
      <w:r>
        <w:rPr>
          <w:spacing w:val="4"/>
        </w:rPr>
        <w:t>公司</w:t>
      </w:r>
      <w:r>
        <w:rPr>
          <w:spacing w:val="-25"/>
        </w:rPr>
        <w:t xml:space="preserve"> </w:t>
      </w:r>
      <w:r>
        <w:rPr>
          <w:spacing w:val="4"/>
        </w:rPr>
        <w:t>，通过境外发行全球存托凭证募集资金</w:t>
      </w:r>
      <w:r>
        <w:rPr>
          <w:spacing w:val="-37"/>
        </w:rPr>
        <w:t xml:space="preserve"> </w:t>
      </w:r>
      <w:r>
        <w:rPr>
          <w:spacing w:val="4"/>
        </w:rPr>
        <w:t>，投向符合国家</w:t>
      </w:r>
      <w:r>
        <w:rPr/>
        <w:t xml:space="preserve"> </w:t>
      </w:r>
      <w:r>
        <w:rPr>
          <w:spacing w:val="3"/>
        </w:rPr>
        <w:t>产业政策的主业领域</w:t>
      </w:r>
      <w:r>
        <w:rPr>
          <w:spacing w:val="-27"/>
        </w:rPr>
        <w:t xml:space="preserve"> </w:t>
      </w:r>
      <w:r>
        <w:rPr>
          <w:spacing w:val="3"/>
        </w:rPr>
        <w:t>，</w:t>
      </w:r>
      <w:r>
        <w:rPr>
          <w:spacing w:val="-66"/>
        </w:rPr>
        <w:t xml:space="preserve"> </w:t>
      </w:r>
      <w:r>
        <w:rPr>
          <w:spacing w:val="3"/>
        </w:rPr>
        <w:t>满足海外布局、业务发展需求</w:t>
      </w:r>
      <w:r>
        <w:rPr>
          <w:spacing w:val="-37"/>
        </w:rPr>
        <w:t xml:space="preserve"> </w:t>
      </w:r>
      <w:r>
        <w:rPr>
          <w:spacing w:val="3"/>
        </w:rPr>
        <w:t>，用好</w:t>
      </w:r>
      <w:r>
        <w:rPr/>
        <w:t xml:space="preserve"> </w:t>
      </w:r>
      <w:r>
        <w:rPr>
          <w:spacing w:val="5"/>
        </w:rPr>
        <w:t>两个市场、两种资源</w:t>
      </w:r>
      <w:r>
        <w:rPr>
          <w:spacing w:val="-27"/>
        </w:rPr>
        <w:t xml:space="preserve"> </w:t>
      </w:r>
      <w:r>
        <w:rPr>
          <w:spacing w:val="5"/>
        </w:rPr>
        <w:t>，促进规范健康发展。</w:t>
      </w:r>
    </w:p>
    <w:p>
      <w:pPr>
        <w:ind w:left="672"/>
        <w:spacing w:before="29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二、申请程序</w:t>
      </w:r>
    </w:p>
    <w:p>
      <w:pPr>
        <w:pStyle w:val="BodyText"/>
        <w:ind w:left="30" w:right="14" w:firstLine="638"/>
        <w:spacing w:before="178" w:line="251" w:lineRule="auto"/>
        <w:rPr/>
      </w:pPr>
      <w:r>
        <w:rPr>
          <w:spacing w:val="6"/>
        </w:rPr>
        <w:t>境内上市公司境外首次发行全球存托凭证</w:t>
      </w:r>
      <w:r>
        <w:rPr>
          <w:spacing w:val="-28"/>
        </w:rPr>
        <w:t xml:space="preserve"> </w:t>
      </w:r>
      <w:r>
        <w:rPr>
          <w:spacing w:val="6"/>
        </w:rPr>
        <w:t>，应当在境外</w:t>
      </w:r>
      <w:r>
        <w:rPr/>
        <w:t xml:space="preserve"> </w:t>
      </w:r>
      <w:r>
        <w:rPr/>
        <w:t>提交发行上市申请后 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/>
        <w:t>个工作 日</w:t>
      </w:r>
      <w:r>
        <w:rPr>
          <w:spacing w:val="-29"/>
        </w:rPr>
        <w:t xml:space="preserve"> </w:t>
      </w:r>
      <w:r>
        <w:rPr/>
        <w:t>内向中国证监会备案</w:t>
      </w:r>
      <w:r>
        <w:rPr>
          <w:spacing w:val="-53"/>
        </w:rPr>
        <w:t xml:space="preserve"> </w:t>
      </w:r>
      <w:r>
        <w:rPr>
          <w:spacing w:val="-1"/>
        </w:rPr>
        <w:t>。境内</w:t>
      </w:r>
      <w:r>
        <w:rPr/>
        <w:t xml:space="preserve"> </w:t>
      </w:r>
      <w:r>
        <w:rPr>
          <w:spacing w:val="6"/>
        </w:rPr>
        <w:t>上市公司在境外提交发行上市申请前</w:t>
      </w:r>
      <w:r>
        <w:rPr>
          <w:spacing w:val="-37"/>
        </w:rPr>
        <w:t xml:space="preserve"> </w:t>
      </w:r>
      <w:r>
        <w:rPr>
          <w:spacing w:val="6"/>
        </w:rPr>
        <w:t>，</w:t>
      </w:r>
      <w:r>
        <w:rPr>
          <w:spacing w:val="-71"/>
        </w:rPr>
        <w:t xml:space="preserve"> </w:t>
      </w:r>
      <w:r>
        <w:rPr>
          <w:spacing w:val="6"/>
        </w:rPr>
        <w:t>应当按</w:t>
      </w:r>
      <w:r>
        <w:rPr>
          <w:spacing w:val="5"/>
        </w:rPr>
        <w:t>照《上市公司</w:t>
      </w:r>
      <w:r>
        <w:rPr/>
        <w:t xml:space="preserve"> </w:t>
      </w:r>
      <w:r>
        <w:rPr>
          <w:spacing w:val="2"/>
        </w:rPr>
        <w:t>证券发行注册管理办法》（ 以下简称《注册办法》</w:t>
      </w:r>
      <w:r>
        <w:rPr>
          <w:spacing w:val="-9"/>
        </w:rPr>
        <w:t xml:space="preserve"> </w:t>
      </w:r>
      <w:r>
        <w:rPr>
          <w:spacing w:val="2"/>
        </w:rPr>
        <w:t>）第二十</w:t>
      </w:r>
      <w:r>
        <w:rPr/>
        <w:t xml:space="preserve"> </w:t>
      </w:r>
      <w:r>
        <w:rPr>
          <w:spacing w:val="5"/>
        </w:rPr>
        <w:t>二条规定</w:t>
      </w:r>
      <w:r>
        <w:rPr>
          <w:spacing w:val="-37"/>
        </w:rPr>
        <w:t xml:space="preserve"> </w:t>
      </w:r>
      <w:r>
        <w:rPr>
          <w:spacing w:val="5"/>
        </w:rPr>
        <w:t>，</w:t>
      </w:r>
      <w:r>
        <w:rPr>
          <w:spacing w:val="-43"/>
        </w:rPr>
        <w:t xml:space="preserve"> </w:t>
      </w:r>
      <w:r>
        <w:rPr>
          <w:spacing w:val="5"/>
        </w:rPr>
        <w:t>由保荐人向境内证券交易所提交新增</w:t>
      </w:r>
      <w:r>
        <w:rPr>
          <w:spacing w:val="4"/>
        </w:rPr>
        <w:t>基础股份发</w:t>
      </w:r>
      <w:r>
        <w:rPr/>
        <w:t xml:space="preserve"> </w:t>
      </w:r>
      <w:r>
        <w:rPr>
          <w:spacing w:val="6"/>
        </w:rPr>
        <w:t>行的注册申请</w:t>
      </w:r>
      <w:r>
        <w:rPr>
          <w:spacing w:val="-22"/>
        </w:rPr>
        <w:t xml:space="preserve"> </w:t>
      </w:r>
      <w:r>
        <w:rPr>
          <w:spacing w:val="6"/>
        </w:rPr>
        <w:t>，境内证券交易所参照上市公司向特定对象发</w:t>
      </w:r>
      <w:r>
        <w:rPr/>
        <w:t xml:space="preserve"> </w:t>
      </w:r>
      <w:r>
        <w:rPr>
          <w:spacing w:val="5"/>
        </w:rPr>
        <w:t>行股票的程序出具审核意见</w:t>
      </w:r>
      <w:r>
        <w:rPr>
          <w:spacing w:val="-32"/>
        </w:rPr>
        <w:t xml:space="preserve"> </w:t>
      </w:r>
      <w:r>
        <w:rPr>
          <w:spacing w:val="5"/>
        </w:rPr>
        <w:t>，并报中国证监会注册。</w:t>
      </w:r>
      <w:r>
        <w:rPr>
          <w:spacing w:val="-53"/>
        </w:rPr>
        <w:t xml:space="preserve"> </w:t>
      </w:r>
      <w:r>
        <w:rPr>
          <w:spacing w:val="5"/>
        </w:rPr>
        <w:t>中国证</w:t>
      </w:r>
      <w:r>
        <w:rPr/>
        <w:t xml:space="preserve"> </w:t>
      </w:r>
      <w:r>
        <w:rPr>
          <w:spacing w:val="7"/>
        </w:rPr>
        <w:t>监会可合并办理注册及备案。</w:t>
      </w:r>
    </w:p>
    <w:p>
      <w:pPr>
        <w:spacing w:line="251" w:lineRule="auto"/>
        <w:sectPr>
          <w:footerReference w:type="default" r:id="rId1"/>
          <w:pgSz w:w="11906" w:h="16839"/>
          <w:pgMar w:top="1431" w:right="1785" w:bottom="1212" w:left="1785" w:header="0" w:footer="988" w:gutter="0"/>
        </w:sectPr>
        <w:rPr/>
      </w:pPr>
    </w:p>
    <w:p>
      <w:pPr>
        <w:pStyle w:val="BodyText"/>
        <w:ind w:left="37" w:right="14" w:firstLine="630"/>
        <w:spacing w:before="170" w:line="251" w:lineRule="auto"/>
        <w:rPr/>
      </w:pPr>
      <w:r>
        <w:rPr>
          <w:spacing w:val="8"/>
        </w:rPr>
        <w:t>境内上市公司在同一境外市场再次发行全球存托凭证，</w:t>
      </w:r>
      <w:r>
        <w:rPr>
          <w:spacing w:val="18"/>
        </w:rPr>
        <w:t xml:space="preserve"> </w:t>
      </w:r>
      <w:r>
        <w:rPr>
          <w:spacing w:val="21"/>
        </w:rPr>
        <w:t>新增基础股份发行注册程序与首次境外发行全球存托凭证</w:t>
      </w:r>
      <w:r>
        <w:rPr>
          <w:spacing w:val="3"/>
        </w:rPr>
        <w:t xml:space="preserve"> </w:t>
      </w:r>
      <w:r>
        <w:rPr>
          <w:spacing w:val="-1"/>
        </w:rPr>
        <w:t>相同</w:t>
      </w:r>
      <w:r>
        <w:rPr>
          <w:spacing w:val="-33"/>
        </w:rPr>
        <w:t xml:space="preserve"> </w:t>
      </w:r>
      <w:r>
        <w:rPr>
          <w:spacing w:val="-1"/>
        </w:rPr>
        <w:t>；境外发行完成后应当在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1"/>
        </w:rPr>
        <w:t>个工作 日</w:t>
      </w:r>
      <w:r>
        <w:rPr>
          <w:spacing w:val="-29"/>
        </w:rPr>
        <w:t xml:space="preserve"> </w:t>
      </w:r>
      <w:r>
        <w:rPr>
          <w:spacing w:val="-1"/>
        </w:rPr>
        <w:t>内向中国证监会备</w:t>
      </w:r>
      <w:r>
        <w:rPr/>
        <w:t xml:space="preserve"> </w:t>
      </w:r>
      <w:r>
        <w:rPr>
          <w:spacing w:val="-8"/>
        </w:rPr>
        <w:t>案。</w:t>
      </w:r>
    </w:p>
    <w:p>
      <w:pPr>
        <w:ind w:left="673"/>
        <w:spacing w:before="27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三、规则适用</w:t>
      </w:r>
    </w:p>
    <w:p>
      <w:pPr>
        <w:pStyle w:val="BodyText"/>
        <w:ind w:left="29" w:right="14" w:firstLine="663"/>
        <w:spacing w:before="170"/>
        <w:rPr/>
      </w:pPr>
      <w:r>
        <w:rPr>
          <w:rFonts w:ascii="Times New Roman" w:hAnsi="Times New Roman" w:eastAsia="Times New Roman" w:cs="Times New Roman"/>
          <w:spacing w:val="4"/>
        </w:rPr>
        <w:t>1.  </w:t>
      </w:r>
      <w:r>
        <w:rPr>
          <w:spacing w:val="4"/>
        </w:rPr>
        <w:t>禁止情形。境内上市公司境外发行全球存托凭证应当</w:t>
      </w:r>
      <w:r>
        <w:rPr>
          <w:spacing w:val="1"/>
        </w:rPr>
        <w:t xml:space="preserve"> </w:t>
      </w:r>
      <w:r>
        <w:rPr>
          <w:spacing w:val="9"/>
        </w:rPr>
        <w:t>符合《境内企业境外发行证券和上市管理试行办法</w:t>
      </w:r>
      <w:r>
        <w:rPr>
          <w:spacing w:val="8"/>
        </w:rPr>
        <w:t>》第八条</w:t>
      </w:r>
      <w:r>
        <w:rPr/>
        <w:t xml:space="preserve"> </w:t>
      </w:r>
      <w:r>
        <w:rPr>
          <w:spacing w:val="-7"/>
        </w:rPr>
        <w:t>及《境内外证券交易所互联互通存托凭证业</w:t>
      </w:r>
      <w:r>
        <w:rPr>
          <w:spacing w:val="-8"/>
        </w:rPr>
        <w:t>务监管规定》（</w:t>
      </w:r>
      <w:r>
        <w:rPr>
          <w:spacing w:val="22"/>
          <w:w w:val="101"/>
        </w:rPr>
        <w:t xml:space="preserve"> </w:t>
      </w:r>
      <w:r>
        <w:rPr>
          <w:spacing w:val="-8"/>
        </w:rPr>
        <w:t>以</w:t>
      </w:r>
      <w:r>
        <w:rPr/>
        <w:t xml:space="preserve"> </w:t>
      </w:r>
      <w:r>
        <w:rPr>
          <w:spacing w:val="4"/>
        </w:rPr>
        <w:t>下简称《监管规定》</w:t>
      </w:r>
      <w:r>
        <w:rPr>
          <w:spacing w:val="-5"/>
        </w:rPr>
        <w:t xml:space="preserve"> </w:t>
      </w:r>
      <w:r>
        <w:rPr>
          <w:spacing w:val="4"/>
        </w:rPr>
        <w:t>）第三十五条的规定。</w:t>
      </w:r>
    </w:p>
    <w:p>
      <w:pPr>
        <w:pStyle w:val="BodyText"/>
        <w:ind w:left="29" w:right="16" w:firstLine="632"/>
        <w:spacing w:before="109" w:line="238" w:lineRule="auto"/>
        <w:rPr/>
      </w:pPr>
      <w:r>
        <w:rPr>
          <w:rFonts w:ascii="Times New Roman" w:hAnsi="Times New Roman" w:eastAsia="Times New Roman" w:cs="Times New Roman"/>
          <w:spacing w:val="5"/>
        </w:rPr>
        <w:t>2.  </w:t>
      </w:r>
      <w:r>
        <w:rPr>
          <w:spacing w:val="5"/>
        </w:rPr>
        <w:t>发行与承销。境内上市公司境外发行全球存托凭证涉</w:t>
      </w:r>
      <w:r>
        <w:rPr>
          <w:spacing w:val="2"/>
        </w:rPr>
        <w:t xml:space="preserve"> </w:t>
      </w:r>
      <w:r>
        <w:rPr>
          <w:spacing w:val="6"/>
        </w:rPr>
        <w:t>及的发行定价、跨境转换期限、锁定期等</w:t>
      </w:r>
      <w:r>
        <w:rPr>
          <w:spacing w:val="-37"/>
        </w:rPr>
        <w:t xml:space="preserve"> </w:t>
      </w:r>
      <w:r>
        <w:rPr>
          <w:spacing w:val="6"/>
        </w:rPr>
        <w:t>，</w:t>
      </w:r>
      <w:r>
        <w:rPr>
          <w:spacing w:val="-68"/>
        </w:rPr>
        <w:t xml:space="preserve"> </w:t>
      </w:r>
      <w:r>
        <w:rPr>
          <w:spacing w:val="5"/>
        </w:rPr>
        <w:t>应当符合《监管</w:t>
      </w:r>
      <w:r>
        <w:rPr/>
        <w:t xml:space="preserve"> </w:t>
      </w:r>
      <w:r>
        <w:rPr>
          <w:spacing w:val="4"/>
        </w:rPr>
        <w:t>规定》</w:t>
      </w:r>
      <w:r>
        <w:rPr>
          <w:spacing w:val="-49"/>
        </w:rPr>
        <w:t xml:space="preserve"> </w:t>
      </w:r>
      <w:r>
        <w:rPr>
          <w:spacing w:val="4"/>
        </w:rPr>
        <w:t>第三十六条</w:t>
      </w:r>
      <w:r>
        <w:rPr>
          <w:spacing w:val="-55"/>
        </w:rPr>
        <w:t xml:space="preserve"> </w:t>
      </w:r>
      <w:r>
        <w:rPr>
          <w:spacing w:val="4"/>
        </w:rPr>
        <w:t>、第三十八条等规定。</w:t>
      </w:r>
    </w:p>
    <w:p>
      <w:pPr>
        <w:pStyle w:val="BodyText"/>
        <w:ind w:left="27" w:right="16" w:firstLine="640"/>
        <w:spacing w:before="101" w:line="245" w:lineRule="auto"/>
        <w:rPr/>
      </w:pPr>
      <w:r>
        <w:rPr>
          <w:rFonts w:ascii="Times New Roman" w:hAnsi="Times New Roman" w:eastAsia="Times New Roman" w:cs="Times New Roman"/>
          <w:spacing w:val="5"/>
        </w:rPr>
        <w:t>3.  </w:t>
      </w:r>
      <w:r>
        <w:rPr>
          <w:spacing w:val="5"/>
        </w:rPr>
        <w:t>发行比例。境内上市公司境外发行全球存托</w:t>
      </w:r>
      <w:r>
        <w:rPr>
          <w:spacing w:val="4"/>
        </w:rPr>
        <w:t>凭证，应</w:t>
      </w:r>
      <w:r>
        <w:rPr/>
        <w:t xml:space="preserve"> </w:t>
      </w:r>
      <w:r>
        <w:rPr>
          <w:spacing w:val="6"/>
        </w:rPr>
        <w:t>当根据《监管规定》</w:t>
      </w:r>
      <w:r>
        <w:rPr>
          <w:spacing w:val="-54"/>
        </w:rPr>
        <w:t xml:space="preserve"> </w:t>
      </w:r>
      <w:r>
        <w:rPr>
          <w:spacing w:val="6"/>
        </w:rPr>
        <w:t>第四十三条</w:t>
      </w:r>
      <w:r>
        <w:rPr>
          <w:spacing w:val="-54"/>
        </w:rPr>
        <w:t xml:space="preserve"> </w:t>
      </w:r>
      <w:r>
        <w:rPr>
          <w:spacing w:val="6"/>
        </w:rPr>
        <w:t>、《证券期货法律适</w:t>
      </w:r>
      <w:r>
        <w:rPr>
          <w:spacing w:val="5"/>
        </w:rPr>
        <w:t>用意见</w:t>
      </w:r>
      <w:r>
        <w:rPr/>
        <w:t xml:space="preserve"> </w:t>
      </w:r>
      <w:r>
        <w:rPr>
          <w:spacing w:val="6"/>
        </w:rPr>
        <w:t>第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18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6"/>
        </w:rPr>
        <w:t>号》</w:t>
      </w:r>
      <w:r>
        <w:rPr>
          <w:spacing w:val="-37"/>
        </w:rPr>
        <w:t xml:space="preserve"> </w:t>
      </w:r>
      <w:r>
        <w:rPr>
          <w:spacing w:val="6"/>
        </w:rPr>
        <w:t>第四点向特定对象发行的规定要求</w:t>
      </w:r>
      <w:r>
        <w:rPr>
          <w:spacing w:val="-29"/>
        </w:rPr>
        <w:t xml:space="preserve"> </w:t>
      </w:r>
      <w:r>
        <w:rPr>
          <w:spacing w:val="6"/>
        </w:rPr>
        <w:t>，</w:t>
      </w:r>
      <w:r>
        <w:rPr>
          <w:spacing w:val="-63"/>
        </w:rPr>
        <w:t xml:space="preserve"> </w:t>
      </w:r>
      <w:r>
        <w:rPr>
          <w:spacing w:val="6"/>
        </w:rPr>
        <w:t>确定全</w:t>
      </w:r>
      <w:r>
        <w:rPr>
          <w:spacing w:val="5"/>
        </w:rPr>
        <w:t>球存</w:t>
      </w:r>
      <w:r>
        <w:rPr/>
        <w:t xml:space="preserve"> </w:t>
      </w:r>
      <w:r>
        <w:rPr>
          <w:spacing w:val="7"/>
        </w:rPr>
        <w:t>托凭证对应基础股份的发行比例</w:t>
      </w:r>
      <w:r>
        <w:rPr>
          <w:spacing w:val="-45"/>
        </w:rPr>
        <w:t xml:space="preserve"> </w:t>
      </w:r>
      <w:r>
        <w:rPr>
          <w:spacing w:val="7"/>
        </w:rPr>
        <w:t>。在计算境外投资者持股比</w:t>
      </w:r>
      <w:r>
        <w:rPr/>
        <w:t xml:space="preserve"> </w:t>
      </w:r>
      <w:r>
        <w:rPr>
          <w:spacing w:val="6"/>
        </w:rPr>
        <w:t>例时</w:t>
      </w:r>
      <w:r>
        <w:rPr>
          <w:spacing w:val="-19"/>
        </w:rPr>
        <w:t xml:space="preserve"> </w:t>
      </w:r>
      <w:r>
        <w:rPr>
          <w:spacing w:val="6"/>
        </w:rPr>
        <w:t>，应当将全球存托凭证对应基础股份的发行比例与合格</w:t>
      </w:r>
      <w:r>
        <w:rPr/>
        <w:t xml:space="preserve"> </w:t>
      </w:r>
      <w:r>
        <w:rPr>
          <w:spacing w:val="6"/>
        </w:rPr>
        <w:t>境外投资者</w:t>
      </w:r>
      <w:r>
        <w:rPr>
          <w:spacing w:val="-38"/>
        </w:rPr>
        <w:t xml:space="preserve"> </w:t>
      </w:r>
      <w:r>
        <w:rPr>
          <w:spacing w:val="6"/>
        </w:rPr>
        <w:t>、沪深股通的持股比例合并计算。</w:t>
      </w:r>
    </w:p>
    <w:p>
      <w:pPr>
        <w:pStyle w:val="BodyText"/>
        <w:ind w:left="40" w:right="14" w:firstLine="619"/>
        <w:spacing w:before="104" w:line="237" w:lineRule="auto"/>
        <w:rPr/>
      </w:pPr>
      <w:r>
        <w:rPr>
          <w:rFonts w:ascii="Times New Roman" w:hAnsi="Times New Roman" w:eastAsia="Times New Roman" w:cs="Times New Roman"/>
          <w:spacing w:val="5"/>
        </w:rPr>
        <w:t>4.  </w:t>
      </w:r>
      <w:r>
        <w:rPr>
          <w:spacing w:val="5"/>
        </w:rPr>
        <w:t>发行间隔。境内上市境外发行全球存托凭证，应当参</w:t>
      </w:r>
      <w:r>
        <w:rPr>
          <w:spacing w:val="6"/>
        </w:rPr>
        <w:t xml:space="preserve"> </w:t>
      </w:r>
      <w:r>
        <w:rPr>
          <w:spacing w:val="13"/>
        </w:rPr>
        <w:t>照《注册办法》</w:t>
      </w:r>
      <w:r>
        <w:rPr>
          <w:spacing w:val="-29"/>
        </w:rPr>
        <w:t xml:space="preserve"> </w:t>
      </w:r>
      <w:r>
        <w:rPr>
          <w:spacing w:val="13"/>
        </w:rPr>
        <w:t>第十六条及《证券期货法律适用意见第</w:t>
      </w:r>
      <w:r>
        <w:rPr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3"/>
        </w:rPr>
        <w:t>号》</w:t>
      </w:r>
      <w:r>
        <w:rPr>
          <w:spacing w:val="-46"/>
        </w:rPr>
        <w:t xml:space="preserve"> </w:t>
      </w:r>
      <w:r>
        <w:rPr>
          <w:spacing w:val="3"/>
        </w:rPr>
        <w:t>第四点向特定对象发行的规定</w:t>
      </w:r>
      <w:r>
        <w:rPr>
          <w:spacing w:val="-37"/>
        </w:rPr>
        <w:t xml:space="preserve"> </w:t>
      </w:r>
      <w:r>
        <w:rPr>
          <w:spacing w:val="3"/>
        </w:rPr>
        <w:t>，</w:t>
      </w:r>
      <w:r>
        <w:rPr>
          <w:spacing w:val="-70"/>
        </w:rPr>
        <w:t xml:space="preserve"> </w:t>
      </w:r>
      <w:r>
        <w:rPr>
          <w:spacing w:val="3"/>
        </w:rPr>
        <w:t>确定发行间隔。</w:t>
      </w:r>
    </w:p>
    <w:p>
      <w:pPr>
        <w:pStyle w:val="BodyText"/>
        <w:ind w:left="31" w:right="14" w:firstLine="638"/>
        <w:spacing w:before="104" w:line="237" w:lineRule="auto"/>
        <w:rPr/>
      </w:pPr>
      <w:r>
        <w:rPr>
          <w:rFonts w:ascii="Times New Roman" w:hAnsi="Times New Roman" w:eastAsia="Times New Roman" w:cs="Times New Roman"/>
          <w:spacing w:val="5"/>
        </w:rPr>
        <w:t>5.  </w:t>
      </w:r>
      <w:r>
        <w:rPr>
          <w:spacing w:val="5"/>
        </w:rPr>
        <w:t>募集资金使用。境内上市公司应当理性融资</w:t>
      </w:r>
      <w:r>
        <w:rPr>
          <w:spacing w:val="4"/>
        </w:rPr>
        <w:t>，合理确</w:t>
      </w:r>
      <w:r>
        <w:rPr/>
        <w:t xml:space="preserve"> </w:t>
      </w:r>
      <w:r>
        <w:rPr>
          <w:spacing w:val="3"/>
        </w:rPr>
        <w:t>定融资规模</w:t>
      </w:r>
      <w:r>
        <w:rPr>
          <w:spacing w:val="-34"/>
        </w:rPr>
        <w:t xml:space="preserve"> </w:t>
      </w:r>
      <w:r>
        <w:rPr>
          <w:spacing w:val="3"/>
        </w:rPr>
        <w:t>，并按照《上市公司监管指引第 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3"/>
        </w:rPr>
        <w:t>号</w:t>
      </w:r>
      <w:r>
        <w:rPr>
          <w:rFonts w:ascii="Times New Roman" w:hAnsi="Times New Roman" w:eastAsia="Times New Roman" w:cs="Times New Roman"/>
          <w:spacing w:val="165"/>
          <w:w w:val="155"/>
        </w:rPr>
        <w:t>‛‛</w:t>
      </w:r>
      <w:r>
        <w:rPr>
          <w:spacing w:val="10"/>
        </w:rPr>
        <w:t>上市公</w:t>
      </w:r>
      <w:r>
        <w:rPr/>
        <w:t xml:space="preserve"> </w:t>
      </w:r>
      <w:r>
        <w:rPr>
          <w:spacing w:val="8"/>
        </w:rPr>
        <w:t>司募集资金管理和使用的监管要求》等规定规范使用境外发</w:t>
      </w:r>
    </w:p>
    <w:p>
      <w:pPr>
        <w:spacing w:line="237" w:lineRule="auto"/>
        <w:sectPr>
          <w:footerReference w:type="default" r:id="rId2"/>
          <w:pgSz w:w="11906" w:h="16839"/>
          <w:pgMar w:top="1431" w:right="1785" w:bottom="1211" w:left="1785" w:header="0" w:footer="988" w:gutter="0"/>
        </w:sectPr>
        <w:rPr/>
      </w:pPr>
    </w:p>
    <w:p>
      <w:pPr>
        <w:pStyle w:val="BodyText"/>
        <w:ind w:left="32"/>
        <w:spacing w:before="174" w:line="207" w:lineRule="auto"/>
        <w:rPr/>
      </w:pPr>
      <w:r>
        <w:rPr>
          <w:spacing w:val="7"/>
        </w:rPr>
        <w:t>行全球存托凭证募集资金。</w:t>
      </w:r>
    </w:p>
    <w:p>
      <w:pPr>
        <w:pStyle w:val="BodyText"/>
        <w:ind w:left="32" w:right="32" w:firstLine="635"/>
        <w:spacing w:before="105" w:line="241" w:lineRule="auto"/>
        <w:rPr/>
      </w:pPr>
      <w:r>
        <w:rPr>
          <w:rFonts w:ascii="Times New Roman" w:hAnsi="Times New Roman" w:eastAsia="Times New Roman" w:cs="Times New Roman"/>
          <w:spacing w:val="1"/>
        </w:rPr>
        <w:t>6.  </w:t>
      </w:r>
      <w:r>
        <w:rPr>
          <w:spacing w:val="1"/>
        </w:rPr>
        <w:t>其他</w:t>
      </w:r>
      <w:r>
        <w:rPr>
          <w:spacing w:val="-44"/>
        </w:rPr>
        <w:t xml:space="preserve"> </w:t>
      </w:r>
      <w:r>
        <w:rPr>
          <w:spacing w:val="1"/>
        </w:rPr>
        <w:t>。除《监管规定》和本指引明确的事项外</w:t>
      </w:r>
      <w:r>
        <w:rPr>
          <w:spacing w:val="-36"/>
        </w:rPr>
        <w:t xml:space="preserve"> </w:t>
      </w:r>
      <w:r>
        <w:rPr>
          <w:spacing w:val="1"/>
        </w:rPr>
        <w:t>，上市</w:t>
      </w:r>
      <w:r>
        <w:rPr/>
        <w:t xml:space="preserve"> </w:t>
      </w:r>
      <w:r>
        <w:rPr>
          <w:spacing w:val="21"/>
        </w:rPr>
        <w:t>公司境外发行全球存托凭证涉及新增基础股份发行的决策</w:t>
      </w:r>
      <w:r>
        <w:rPr>
          <w:spacing w:val="11"/>
        </w:rPr>
        <w:t xml:space="preserve"> </w:t>
      </w:r>
      <w:r>
        <w:rPr>
          <w:spacing w:val="4"/>
        </w:rPr>
        <w:t>程序</w:t>
      </w:r>
      <w:r>
        <w:rPr>
          <w:spacing w:val="-46"/>
        </w:rPr>
        <w:t xml:space="preserve"> </w:t>
      </w:r>
      <w:r>
        <w:rPr>
          <w:spacing w:val="4"/>
        </w:rPr>
        <w:t>、信息披露等事项</w:t>
      </w:r>
      <w:r>
        <w:rPr>
          <w:spacing w:val="-37"/>
        </w:rPr>
        <w:t xml:space="preserve"> </w:t>
      </w:r>
      <w:r>
        <w:rPr>
          <w:spacing w:val="4"/>
        </w:rPr>
        <w:t>，</w:t>
      </w:r>
      <w:r>
        <w:rPr>
          <w:spacing w:val="-71"/>
        </w:rPr>
        <w:t xml:space="preserve"> </w:t>
      </w:r>
      <w:r>
        <w:rPr>
          <w:spacing w:val="4"/>
        </w:rPr>
        <w:t>应当符合上市公司向特定对象发行</w:t>
      </w:r>
      <w:r>
        <w:rPr/>
        <w:t xml:space="preserve"> </w:t>
      </w:r>
      <w:r>
        <w:rPr>
          <w:spacing w:val="4"/>
        </w:rPr>
        <w:t>的有关规定。</w:t>
      </w:r>
    </w:p>
    <w:p>
      <w:pPr>
        <w:ind w:left="686"/>
        <w:spacing w:before="107" w:line="228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四、材料要求</w:t>
      </w:r>
    </w:p>
    <w:p>
      <w:pPr>
        <w:pStyle w:val="BodyText"/>
        <w:ind w:left="36" w:firstLine="655"/>
        <w:spacing w:before="174" w:line="243" w:lineRule="auto"/>
        <w:rPr/>
      </w:pPr>
      <w:r>
        <w:rPr>
          <w:rFonts w:ascii="Times New Roman" w:hAnsi="Times New Roman" w:eastAsia="Times New Roman" w:cs="Times New Roman"/>
          <w:spacing w:val="1"/>
        </w:rPr>
        <w:t>1.</w:t>
      </w:r>
      <w:r>
        <w:rPr>
          <w:rFonts w:ascii="Times New Roman" w:hAnsi="Times New Roman" w:eastAsia="Times New Roman" w:cs="Times New Roman"/>
          <w:spacing w:val="41"/>
        </w:rPr>
        <w:t xml:space="preserve">  </w:t>
      </w:r>
      <w:r>
        <w:rPr>
          <w:spacing w:val="1"/>
        </w:rPr>
        <w:t>申请材料。境内上市公司应当按照《监管规则适用指</w:t>
      </w:r>
      <w:r>
        <w:rPr/>
        <w:t xml:space="preserve"> </w:t>
      </w:r>
      <w:r>
        <w:rPr>
          <w:spacing w:val="-14"/>
        </w:rPr>
        <w:t>引</w:t>
      </w:r>
      <w:r>
        <w:rPr>
          <w:rFonts w:ascii="Times New Roman" w:hAnsi="Times New Roman" w:eastAsia="Times New Roman" w:cs="Times New Roman"/>
          <w:spacing w:val="165"/>
          <w:w w:val="150"/>
        </w:rPr>
        <w:t>‛‛</w:t>
      </w:r>
      <w:r>
        <w:rPr>
          <w:spacing w:val="7"/>
        </w:rPr>
        <w:t>境外发行上市类第 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7"/>
        </w:rPr>
        <w:t>号：</w:t>
      </w:r>
      <w:r>
        <w:rPr>
          <w:spacing w:val="-68"/>
        </w:rPr>
        <w:t xml:space="preserve"> </w:t>
      </w:r>
      <w:r>
        <w:rPr>
          <w:spacing w:val="7"/>
        </w:rPr>
        <w:t>备案材料内容和格式指引》</w:t>
      </w:r>
      <w:r>
        <w:rPr/>
        <w:t xml:space="preserve"> </w:t>
      </w:r>
      <w:r>
        <w:rPr>
          <w:spacing w:val="6"/>
        </w:rPr>
        <w:t>报送备案材料</w:t>
      </w:r>
      <w:r>
        <w:rPr>
          <w:spacing w:val="-28"/>
        </w:rPr>
        <w:t xml:space="preserve"> </w:t>
      </w:r>
      <w:r>
        <w:rPr>
          <w:spacing w:val="6"/>
        </w:rPr>
        <w:t>，在基础股份注册申请时已提交的材料或已说</w:t>
      </w:r>
      <w:r>
        <w:rPr/>
        <w:t xml:space="preserve"> </w:t>
      </w:r>
      <w:r>
        <w:rPr>
          <w:spacing w:val="6"/>
        </w:rPr>
        <w:t>明的事项</w:t>
      </w:r>
      <w:r>
        <w:rPr>
          <w:spacing w:val="-26"/>
        </w:rPr>
        <w:t xml:space="preserve"> </w:t>
      </w:r>
      <w:r>
        <w:rPr>
          <w:spacing w:val="6"/>
        </w:rPr>
        <w:t>，备案材料中无需重复提交或说明。备案法律意见</w:t>
      </w:r>
      <w:r>
        <w:rPr/>
        <w:t xml:space="preserve"> </w:t>
      </w:r>
      <w:r>
        <w:rPr>
          <w:spacing w:val="7"/>
        </w:rPr>
        <w:t>书仅需报送专项法律意见书。</w:t>
      </w:r>
    </w:p>
    <w:p>
      <w:pPr>
        <w:pStyle w:val="BodyText"/>
        <w:ind w:left="34" w:right="32" w:firstLine="640"/>
        <w:spacing w:before="102" w:line="250" w:lineRule="auto"/>
        <w:jc w:val="both"/>
        <w:rPr/>
      </w:pPr>
      <w:r>
        <w:rPr>
          <w:spacing w:val="8"/>
        </w:rPr>
        <w:t>基础股份注册申请材料应当按照《公开发行证券的公司</w:t>
      </w:r>
      <w:r>
        <w:rPr>
          <w:spacing w:val="12"/>
        </w:rPr>
        <w:t xml:space="preserve"> </w:t>
      </w:r>
      <w:r>
        <w:rPr>
          <w:spacing w:val="9"/>
        </w:rPr>
        <w:t>信息披露内容与格式准则第 </w:t>
      </w:r>
      <w:r>
        <w:rPr>
          <w:rFonts w:ascii="Times New Roman" w:hAnsi="Times New Roman" w:eastAsia="Times New Roman" w:cs="Times New Roman"/>
          <w:spacing w:val="9"/>
        </w:rPr>
        <w:t>59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9"/>
        </w:rPr>
        <w:t>号</w:t>
      </w:r>
      <w:r>
        <w:rPr>
          <w:rFonts w:ascii="Times New Roman" w:hAnsi="Times New Roman" w:eastAsia="Times New Roman" w:cs="Times New Roman"/>
          <w:spacing w:val="165"/>
          <w:w w:val="159"/>
        </w:rPr>
        <w:t>‛‛</w:t>
      </w:r>
      <w:r>
        <w:rPr>
          <w:spacing w:val="16"/>
        </w:rPr>
        <w:t>上市公司发行证券申</w:t>
      </w:r>
      <w:r>
        <w:rPr/>
        <w:t xml:space="preserve"> </w:t>
      </w:r>
      <w:r>
        <w:rPr>
          <w:spacing w:val="1"/>
        </w:rPr>
        <w:t>请文件》</w:t>
      </w:r>
      <w:r>
        <w:rPr>
          <w:spacing w:val="-34"/>
        </w:rPr>
        <w:t xml:space="preserve"> </w:t>
      </w:r>
      <w:r>
        <w:rPr>
          <w:spacing w:val="1"/>
        </w:rPr>
        <w:t>的要求报送。</w:t>
      </w:r>
    </w:p>
    <w:p>
      <w:pPr>
        <w:pStyle w:val="BodyText"/>
        <w:ind w:left="32" w:right="34" w:firstLine="628"/>
        <w:spacing w:before="20" w:line="241" w:lineRule="auto"/>
        <w:rPr/>
      </w:pPr>
      <w:r>
        <w:rPr>
          <w:rFonts w:ascii="Times New Roman" w:hAnsi="Times New Roman" w:eastAsia="Times New Roman" w:cs="Times New Roman"/>
          <w:spacing w:val="5"/>
        </w:rPr>
        <w:t>2.  </w:t>
      </w:r>
      <w:r>
        <w:rPr>
          <w:spacing w:val="5"/>
        </w:rPr>
        <w:t>决策程序文件。境内上市公司履行发行全球存托凭证</w:t>
      </w:r>
      <w:r>
        <w:rPr>
          <w:spacing w:val="2"/>
        </w:rPr>
        <w:t xml:space="preserve"> </w:t>
      </w:r>
      <w:r>
        <w:rPr>
          <w:spacing w:val="4"/>
        </w:rPr>
        <w:t>决策程序时</w:t>
      </w:r>
      <w:r>
        <w:rPr>
          <w:spacing w:val="-31"/>
        </w:rPr>
        <w:t xml:space="preserve"> </w:t>
      </w:r>
      <w:r>
        <w:rPr>
          <w:spacing w:val="4"/>
        </w:rPr>
        <w:t>，</w:t>
      </w:r>
      <w:r>
        <w:rPr>
          <w:spacing w:val="-71"/>
        </w:rPr>
        <w:t xml:space="preserve"> </w:t>
      </w:r>
      <w:r>
        <w:rPr>
          <w:spacing w:val="4"/>
        </w:rPr>
        <w:t>应当按照《注册办法》</w:t>
      </w:r>
      <w:r>
        <w:rPr>
          <w:spacing w:val="-54"/>
        </w:rPr>
        <w:t xml:space="preserve"> </w:t>
      </w:r>
      <w:r>
        <w:rPr>
          <w:spacing w:val="4"/>
        </w:rPr>
        <w:t>第十六条、第十七条有</w:t>
      </w:r>
      <w:r>
        <w:rPr/>
        <w:t xml:space="preserve"> </w:t>
      </w:r>
      <w:r>
        <w:rPr>
          <w:spacing w:val="6"/>
        </w:rPr>
        <w:t>关规定编制相关文件</w:t>
      </w:r>
      <w:r>
        <w:rPr>
          <w:spacing w:val="-25"/>
        </w:rPr>
        <w:t xml:space="preserve"> </w:t>
      </w:r>
      <w:r>
        <w:rPr>
          <w:spacing w:val="6"/>
        </w:rPr>
        <w:t>，并在本次发行方案论证分析报告中充</w:t>
      </w:r>
      <w:r>
        <w:rPr/>
        <w:t xml:space="preserve"> </w:t>
      </w:r>
      <w:r>
        <w:rPr>
          <w:spacing w:val="8"/>
        </w:rPr>
        <w:t>分说明公司本次发行是否符合全球存托凭证品种定位。</w:t>
      </w:r>
    </w:p>
    <w:p>
      <w:pPr>
        <w:pStyle w:val="BodyText"/>
        <w:ind w:left="30" w:right="32" w:firstLine="637"/>
        <w:spacing w:before="102" w:line="245" w:lineRule="auto"/>
        <w:rPr/>
      </w:pPr>
      <w:r>
        <w:rPr>
          <w:rFonts w:ascii="Times New Roman" w:hAnsi="Times New Roman" w:eastAsia="Times New Roman" w:cs="Times New Roman"/>
          <w:spacing w:val="5"/>
        </w:rPr>
        <w:t>3.  </w:t>
      </w:r>
      <w:r>
        <w:rPr>
          <w:spacing w:val="5"/>
        </w:rPr>
        <w:t>募集文件。境内上市公司发行全球存托凭证下的</w:t>
      </w:r>
      <w:r>
        <w:rPr>
          <w:spacing w:val="4"/>
        </w:rPr>
        <w:t>新增</w:t>
      </w:r>
      <w:r>
        <w:rPr/>
        <w:t xml:space="preserve"> </w:t>
      </w:r>
      <w:r>
        <w:rPr>
          <w:spacing w:val="6"/>
        </w:rPr>
        <w:t>基础股份</w:t>
      </w:r>
      <w:r>
        <w:rPr>
          <w:spacing w:val="-37"/>
        </w:rPr>
        <w:t xml:space="preserve"> </w:t>
      </w:r>
      <w:r>
        <w:rPr>
          <w:spacing w:val="6"/>
        </w:rPr>
        <w:t>，</w:t>
      </w:r>
      <w:r>
        <w:rPr>
          <w:spacing w:val="-71"/>
        </w:rPr>
        <w:t xml:space="preserve"> </w:t>
      </w:r>
      <w:r>
        <w:rPr>
          <w:spacing w:val="6"/>
        </w:rPr>
        <w:t>应当按照《公开发行证券的公司信</w:t>
      </w:r>
      <w:r>
        <w:rPr>
          <w:spacing w:val="5"/>
        </w:rPr>
        <w:t>息披露内容与</w:t>
      </w:r>
      <w:r>
        <w:rPr/>
        <w:t xml:space="preserve"> </w:t>
      </w:r>
      <w:r>
        <w:rPr>
          <w:spacing w:val="4"/>
        </w:rPr>
        <w:t>格式准则第 </w:t>
      </w:r>
      <w:r>
        <w:rPr>
          <w:rFonts w:ascii="Times New Roman" w:hAnsi="Times New Roman" w:eastAsia="Times New Roman" w:cs="Times New Roman"/>
          <w:spacing w:val="4"/>
        </w:rPr>
        <w:t>61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4"/>
        </w:rPr>
        <w:t>号</w:t>
      </w:r>
      <w:r>
        <w:rPr>
          <w:rFonts w:ascii="Times New Roman" w:hAnsi="Times New Roman" w:eastAsia="Times New Roman" w:cs="Times New Roman"/>
          <w:spacing w:val="165"/>
          <w:w w:val="157"/>
        </w:rPr>
        <w:t>‛‛</w:t>
      </w:r>
      <w:r>
        <w:rPr>
          <w:spacing w:val="16"/>
        </w:rPr>
        <w:t>上市公司向特定对象发行证券募集说</w:t>
      </w:r>
      <w:r>
        <w:rPr/>
        <w:t xml:space="preserve"> </w:t>
      </w:r>
      <w:r>
        <w:rPr>
          <w:spacing w:val="6"/>
        </w:rPr>
        <w:t>明书和发行情况报告书》编制披露募集说明书</w:t>
      </w:r>
      <w:r>
        <w:rPr>
          <w:spacing w:val="-22"/>
        </w:rPr>
        <w:t xml:space="preserve"> </w:t>
      </w:r>
      <w:r>
        <w:rPr>
          <w:spacing w:val="6"/>
        </w:rPr>
        <w:t>，并披露跨境</w:t>
      </w:r>
      <w:r>
        <w:rPr/>
        <w:t xml:space="preserve"> </w:t>
      </w:r>
      <w:r>
        <w:rPr>
          <w:spacing w:val="16"/>
        </w:rPr>
        <w:t>转换限制期满后全球存托凭证转换为 </w:t>
      </w:r>
      <w:r>
        <w:rPr>
          <w:rFonts w:ascii="Times New Roman" w:hAnsi="Times New Roman" w:eastAsia="Times New Roman" w:cs="Times New Roman"/>
          <w:spacing w:val="16"/>
        </w:rPr>
        <w:t>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6"/>
        </w:rPr>
        <w:t>股基础股票对发行</w:t>
      </w:r>
      <w:r>
        <w:rPr/>
        <w:t xml:space="preserve"> </w:t>
      </w:r>
      <w:r>
        <w:rPr>
          <w:spacing w:val="3"/>
        </w:rPr>
        <w:t>人 </w:t>
      </w: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3"/>
        </w:rPr>
        <w:t>股股价影响等风险。</w:t>
      </w:r>
    </w:p>
    <w:p>
      <w:pPr>
        <w:spacing w:line="245" w:lineRule="auto"/>
        <w:sectPr>
          <w:footerReference w:type="default" r:id="rId3"/>
          <w:pgSz w:w="11906" w:h="16839"/>
          <w:pgMar w:top="1431" w:right="1767" w:bottom="1211" w:left="1785" w:header="0" w:footer="988" w:gutter="0"/>
        </w:sectPr>
        <w:rPr/>
      </w:pPr>
    </w:p>
    <w:p>
      <w:pPr>
        <w:pStyle w:val="BodyText"/>
        <w:ind w:left="11" w:right="14" w:firstLine="648"/>
        <w:spacing w:before="169" w:line="252" w:lineRule="auto"/>
        <w:rPr/>
      </w:pPr>
      <w:r>
        <w:rPr>
          <w:rFonts w:ascii="Times New Roman" w:hAnsi="Times New Roman" w:eastAsia="Times New Roman" w:cs="Times New Roman"/>
          <w:spacing w:val="5"/>
        </w:rPr>
        <w:t>4.  </w:t>
      </w:r>
      <w:r>
        <w:rPr>
          <w:spacing w:val="5"/>
        </w:rPr>
        <w:t>发行情况报告。境内上市公司完成境外全球存托凭证</w:t>
      </w:r>
      <w:r>
        <w:rPr>
          <w:spacing w:val="4"/>
        </w:rPr>
        <w:t xml:space="preserve"> </w:t>
      </w:r>
      <w:r>
        <w:rPr>
          <w:spacing w:val="2"/>
        </w:rPr>
        <w:t>发行上市后</w:t>
      </w:r>
      <w:r>
        <w:rPr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15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2"/>
        </w:rPr>
        <w:t>个工作 日</w:t>
      </w:r>
      <w:r>
        <w:rPr>
          <w:spacing w:val="-24"/>
        </w:rPr>
        <w:t xml:space="preserve"> </w:t>
      </w:r>
      <w:r>
        <w:rPr>
          <w:spacing w:val="2"/>
        </w:rPr>
        <w:t>内</w:t>
      </w:r>
      <w:r>
        <w:rPr>
          <w:spacing w:val="-29"/>
        </w:rPr>
        <w:t xml:space="preserve"> </w:t>
      </w:r>
      <w:r>
        <w:rPr>
          <w:spacing w:val="2"/>
        </w:rPr>
        <w:t>，</w:t>
      </w:r>
      <w:r>
        <w:rPr>
          <w:spacing w:val="-59"/>
        </w:rPr>
        <w:t xml:space="preserve"> </w:t>
      </w:r>
      <w:r>
        <w:rPr>
          <w:spacing w:val="2"/>
        </w:rPr>
        <w:t>应当按照《监管规则适用指引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65"/>
          <w:w w:val="151"/>
        </w:rPr>
        <w:t>‛‛</w:t>
      </w:r>
      <w:r>
        <w:rPr>
          <w:spacing w:val="6"/>
        </w:rPr>
        <w:t>境外发行上市类第 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6"/>
        </w:rPr>
        <w:t>号：</w:t>
      </w:r>
      <w:r>
        <w:rPr>
          <w:spacing w:val="-71"/>
        </w:rPr>
        <w:t xml:space="preserve"> </w:t>
      </w:r>
      <w:r>
        <w:rPr>
          <w:spacing w:val="6"/>
        </w:rPr>
        <w:t>报告内容指引》披露发行情况</w:t>
      </w:r>
      <w:r>
        <w:rPr/>
        <w:t xml:space="preserve"> </w:t>
      </w:r>
      <w:r>
        <w:rPr>
          <w:spacing w:val="5"/>
        </w:rPr>
        <w:t>报告</w:t>
      </w:r>
      <w:r>
        <w:rPr>
          <w:spacing w:val="-32"/>
        </w:rPr>
        <w:t xml:space="preserve"> </w:t>
      </w:r>
      <w:r>
        <w:rPr>
          <w:spacing w:val="5"/>
        </w:rPr>
        <w:t>，发行情况报告应当穿透说明实际认购对象</w:t>
      </w:r>
      <w:r>
        <w:rPr>
          <w:spacing w:val="-37"/>
        </w:rPr>
        <w:t xml:space="preserve"> </w:t>
      </w:r>
      <w:r>
        <w:rPr>
          <w:spacing w:val="5"/>
        </w:rPr>
        <w:t>，并说明是</w:t>
      </w:r>
      <w:r>
        <w:rPr/>
        <w:t xml:space="preserve"> </w:t>
      </w:r>
      <w:r>
        <w:rPr>
          <w:spacing w:val="7"/>
        </w:rPr>
        <w:t>否存在收益互换等类似协议安排及其合规性</w:t>
      </w:r>
      <w:r>
        <w:rPr>
          <w:spacing w:val="-27"/>
        </w:rPr>
        <w:t xml:space="preserve"> </w:t>
      </w:r>
      <w:r>
        <w:rPr>
          <w:spacing w:val="7"/>
        </w:rPr>
        <w:t>，是否存在投资</w:t>
      </w:r>
      <w:r>
        <w:rPr/>
        <w:t xml:space="preserve"> </w:t>
      </w:r>
      <w:r>
        <w:rPr>
          <w:spacing w:val="9"/>
        </w:rPr>
        <w:t>者延长跨境转换期限的情形。发行情况报告中关于主要股东</w:t>
      </w:r>
      <w:r>
        <w:rPr>
          <w:spacing w:val="11"/>
        </w:rPr>
        <w:t xml:space="preserve"> </w:t>
      </w:r>
      <w:r>
        <w:rPr>
          <w:spacing w:val="6"/>
        </w:rPr>
        <w:t>的认定</w:t>
      </w:r>
      <w:r>
        <w:rPr>
          <w:spacing w:val="-36"/>
        </w:rPr>
        <w:t xml:space="preserve"> </w:t>
      </w:r>
      <w:r>
        <w:rPr>
          <w:spacing w:val="6"/>
        </w:rPr>
        <w:t>，其持股比例应当按照《监管规定》</w:t>
      </w:r>
      <w:r>
        <w:rPr>
          <w:spacing w:val="-54"/>
        </w:rPr>
        <w:t xml:space="preserve"> </w:t>
      </w:r>
      <w:r>
        <w:rPr>
          <w:spacing w:val="6"/>
        </w:rPr>
        <w:t>第四</w:t>
      </w:r>
      <w:r>
        <w:rPr>
          <w:spacing w:val="5"/>
        </w:rPr>
        <w:t>十三条的要</w:t>
      </w:r>
      <w:r>
        <w:rPr/>
        <w:t xml:space="preserve"> </w:t>
      </w:r>
      <w:r>
        <w:rPr>
          <w:spacing w:val="8"/>
        </w:rPr>
        <w:t>求计算。</w:t>
      </w:r>
    </w:p>
    <w:p>
      <w:pPr>
        <w:ind w:left="675"/>
        <w:spacing w:before="26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五、实施安排</w:t>
      </w:r>
    </w:p>
    <w:p>
      <w:pPr>
        <w:pStyle w:val="BodyText"/>
        <w:ind w:left="31" w:right="14" w:firstLine="629"/>
        <w:spacing w:before="166" w:line="251" w:lineRule="auto"/>
        <w:rPr/>
      </w:pPr>
      <w:r>
        <w:rPr>
          <w:rFonts w:ascii="Times New Roman" w:hAnsi="Times New Roman" w:eastAsia="Times New Roman" w:cs="Times New Roman"/>
          <w:spacing w:val="2"/>
        </w:rPr>
        <w:t>2023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2"/>
        </w:rPr>
        <w:t>年 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"/>
        </w:rPr>
        <w:t>月 </w:t>
      </w:r>
      <w:r>
        <w:rPr>
          <w:rFonts w:ascii="Times New Roman" w:hAnsi="Times New Roman" w:eastAsia="Times New Roman" w:cs="Times New Roman"/>
          <w:spacing w:val="2"/>
        </w:rPr>
        <w:t>31  </w:t>
      </w:r>
      <w:r>
        <w:rPr>
          <w:spacing w:val="2"/>
        </w:rPr>
        <w:t>日前</w:t>
      </w:r>
      <w:r>
        <w:rPr>
          <w:spacing w:val="-34"/>
        </w:rPr>
        <w:t xml:space="preserve"> </w:t>
      </w:r>
      <w:r>
        <w:rPr>
          <w:spacing w:val="2"/>
        </w:rPr>
        <w:t>，境内上市公司已在境外提交全球</w:t>
      </w:r>
      <w:r>
        <w:rPr/>
        <w:t xml:space="preserve"> </w:t>
      </w:r>
      <w:r>
        <w:rPr>
          <w:spacing w:val="4"/>
        </w:rPr>
        <w:t>存托凭证发行申请</w:t>
      </w:r>
      <w:r>
        <w:rPr>
          <w:spacing w:val="-26"/>
        </w:rPr>
        <w:t xml:space="preserve"> </w:t>
      </w:r>
      <w:r>
        <w:rPr>
          <w:spacing w:val="4"/>
        </w:rPr>
        <w:t>，但未获证监会核准的</w:t>
      </w:r>
      <w:r>
        <w:rPr>
          <w:spacing w:val="-37"/>
        </w:rPr>
        <w:t xml:space="preserve"> </w:t>
      </w:r>
      <w:r>
        <w:rPr>
          <w:spacing w:val="4"/>
        </w:rPr>
        <w:t>，应当履行基础股</w:t>
      </w:r>
      <w:r>
        <w:rPr/>
        <w:t xml:space="preserve"> </w:t>
      </w:r>
      <w:r>
        <w:rPr>
          <w:spacing w:val="6"/>
        </w:rPr>
        <w:t>份发行注册及境外发行上市备案程序</w:t>
      </w:r>
      <w:r>
        <w:rPr>
          <w:spacing w:val="-21"/>
        </w:rPr>
        <w:t xml:space="preserve"> </w:t>
      </w:r>
      <w:r>
        <w:rPr>
          <w:spacing w:val="6"/>
        </w:rPr>
        <w:t>，可合理安排提交注册</w:t>
      </w:r>
      <w:r>
        <w:rPr/>
        <w:t xml:space="preserve"> </w:t>
      </w:r>
      <w:r>
        <w:rPr>
          <w:spacing w:val="7"/>
        </w:rPr>
        <w:t>申请及备案材料的时点。</w:t>
      </w:r>
    </w:p>
    <w:p>
      <w:pPr>
        <w:pStyle w:val="BodyText"/>
        <w:ind w:left="42" w:right="16" w:firstLine="618"/>
        <w:spacing w:before="21" w:line="249" w:lineRule="auto"/>
        <w:jc w:val="both"/>
        <w:rPr/>
      </w:pPr>
      <w:r>
        <w:rPr>
          <w:rFonts w:ascii="Times New Roman" w:hAnsi="Times New Roman" w:eastAsia="Times New Roman" w:cs="Times New Roman"/>
          <w:spacing w:val="2"/>
        </w:rPr>
        <w:t>2023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2"/>
        </w:rPr>
        <w:t>年 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"/>
        </w:rPr>
        <w:t>月 </w:t>
      </w:r>
      <w:r>
        <w:rPr>
          <w:rFonts w:ascii="Times New Roman" w:hAnsi="Times New Roman" w:eastAsia="Times New Roman" w:cs="Times New Roman"/>
          <w:spacing w:val="2"/>
        </w:rPr>
        <w:t>31  </w:t>
      </w:r>
      <w:r>
        <w:rPr>
          <w:spacing w:val="2"/>
        </w:rPr>
        <w:t>日前</w:t>
      </w:r>
      <w:r>
        <w:rPr>
          <w:spacing w:val="-34"/>
        </w:rPr>
        <w:t xml:space="preserve"> </w:t>
      </w:r>
      <w:r>
        <w:rPr>
          <w:spacing w:val="2"/>
        </w:rPr>
        <w:t>，境内上市公司境外发行全球存托</w:t>
      </w:r>
      <w:r>
        <w:rPr/>
        <w:t xml:space="preserve"> </w:t>
      </w:r>
      <w:r>
        <w:rPr>
          <w:spacing w:val="6"/>
        </w:rPr>
        <w:t>凭证相关议案已经股东大会审议通过的</w:t>
      </w:r>
      <w:r>
        <w:rPr>
          <w:spacing w:val="-34"/>
        </w:rPr>
        <w:t xml:space="preserve"> </w:t>
      </w:r>
      <w:r>
        <w:rPr>
          <w:spacing w:val="6"/>
        </w:rPr>
        <w:t>，无需重新提交股东</w:t>
      </w:r>
      <w:r>
        <w:rPr/>
        <w:t xml:space="preserve"> </w:t>
      </w:r>
      <w:r>
        <w:rPr>
          <w:spacing w:val="2"/>
        </w:rPr>
        <w:t>大会审议。</w:t>
      </w:r>
    </w:p>
    <w:p>
      <w:pPr>
        <w:spacing w:line="249" w:lineRule="auto"/>
        <w:sectPr>
          <w:footerReference w:type="default" r:id="rId4"/>
          <w:pgSz w:w="11906" w:h="16839"/>
          <w:pgMar w:top="1431" w:right="1785" w:bottom="1209" w:left="1785" w:header="0" w:footer="988" w:gutter="0"/>
        </w:sectPr>
        <w:rPr/>
      </w:pPr>
    </w:p>
    <w:p>
      <w:pPr>
        <w:ind w:left="46"/>
        <w:spacing w:before="171" w:line="417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8"/>
          <w:position w:val="1"/>
        </w:rPr>
        <w:t>附件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462" w:right="709" w:hanging="2839"/>
        <w:spacing w:before="154" w:line="239" w:lineRule="auto"/>
        <w:rPr>
          <w:sz w:val="36"/>
          <w:szCs w:val="36"/>
        </w:rPr>
      </w:pPr>
      <w:r>
        <w:rPr>
          <w:sz w:val="36"/>
          <w:szCs w:val="36"/>
          <w:spacing w:val="-2"/>
        </w:rPr>
        <w:t>关于 </w:t>
      </w:r>
      <w:r>
        <w:rPr>
          <w:rFonts w:ascii="Times New Roman" w:hAnsi="Times New Roman" w:eastAsia="Times New Roman" w:cs="Times New Roman"/>
          <w:sz w:val="36"/>
          <w:szCs w:val="36"/>
          <w:spacing w:val="-2"/>
        </w:rPr>
        <w:t>XXX </w:t>
      </w:r>
      <w:r>
        <w:rPr>
          <w:sz w:val="36"/>
          <w:szCs w:val="36"/>
          <w:spacing w:val="-2"/>
        </w:rPr>
        <w:t>境外发行全球存托凭证（</w:t>
      </w:r>
      <w:r>
        <w:rPr>
          <w:rFonts w:ascii="Times New Roman" w:hAnsi="Times New Roman" w:eastAsia="Times New Roman" w:cs="Times New Roman"/>
          <w:sz w:val="36"/>
          <w:szCs w:val="36"/>
          <w:spacing w:val="-2"/>
        </w:rPr>
        <w:t>GDR</w:t>
      </w:r>
      <w:r>
        <w:rPr>
          <w:sz w:val="36"/>
          <w:szCs w:val="36"/>
          <w:spacing w:val="-2"/>
        </w:rPr>
        <w:t>）的</w:t>
      </w:r>
      <w:r>
        <w:rPr>
          <w:sz w:val="36"/>
          <w:szCs w:val="36"/>
          <w:spacing w:val="12"/>
        </w:rPr>
        <w:t xml:space="preserve"> </w:t>
      </w:r>
      <w:r>
        <w:rPr>
          <w:sz w:val="36"/>
          <w:szCs w:val="36"/>
          <w:spacing w:val="-5"/>
        </w:rPr>
        <w:t>备案报告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24" w:right="4646" w:hanging="649"/>
        <w:spacing w:before="133" w:line="249" w:lineRule="auto"/>
        <w:rPr/>
      </w:pPr>
      <w:r>
        <w:rPr>
          <w:spacing w:val="-1"/>
        </w:rPr>
        <w:t>中国证券监督管理委员会：</w:t>
      </w:r>
      <w:r>
        <w:rPr>
          <w:spacing w:val="6"/>
        </w:rPr>
        <w:t xml:space="preserve"> </w:t>
      </w:r>
      <w:r>
        <w:rPr>
          <w:spacing w:val="-2"/>
        </w:rPr>
        <w:t>申请事项概述</w:t>
      </w:r>
    </w:p>
    <w:p>
      <w:pPr>
        <w:ind w:left="632"/>
        <w:spacing w:before="29" w:line="23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一、发行人基本情况</w:t>
      </w:r>
    </w:p>
    <w:p>
      <w:pPr>
        <w:pStyle w:val="BodyText"/>
        <w:spacing w:before="161" w:line="206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2"/>
        </w:rPr>
        <w:t>、</w:t>
      </w:r>
      <w:r>
        <w:rPr>
          <w:spacing w:val="30"/>
          <w:w w:val="101"/>
        </w:rPr>
        <w:t xml:space="preserve"> </w:t>
      </w:r>
      <w:r>
        <w:rPr>
          <w:spacing w:val="-2"/>
        </w:rPr>
        <w:t>发行人的名称、注册资本</w:t>
      </w:r>
      <w:r>
        <w:rPr>
          <w:spacing w:val="-55"/>
        </w:rPr>
        <w:t xml:space="preserve"> </w:t>
      </w:r>
      <w:r>
        <w:rPr>
          <w:spacing w:val="-2"/>
        </w:rPr>
        <w:t>、成立日期、住所、网址。</w:t>
      </w:r>
    </w:p>
    <w:p>
      <w:pPr>
        <w:pStyle w:val="BodyText"/>
        <w:ind w:left="661"/>
        <w:spacing w:before="104" w:line="202" w:lineRule="auto"/>
        <w:rPr/>
      </w:pP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3"/>
        </w:rPr>
        <w:t>、</w:t>
      </w:r>
      <w:r>
        <w:rPr>
          <w:spacing w:val="61"/>
        </w:rPr>
        <w:t xml:space="preserve"> </w:t>
      </w:r>
      <w:r>
        <w:rPr>
          <w:spacing w:val="3"/>
        </w:rPr>
        <w:t>在境外提交发行上市申请情况（ 如适用）。</w:t>
      </w:r>
    </w:p>
    <w:p>
      <w:pPr>
        <w:pStyle w:val="BodyText"/>
        <w:ind w:left="41" w:right="119" w:firstLine="632"/>
        <w:spacing w:before="106" w:line="227" w:lineRule="auto"/>
        <w:rPr/>
      </w:pPr>
      <w:r>
        <w:rPr>
          <w:rFonts w:ascii="SimHei" w:hAnsi="SimHei" w:eastAsia="SimHei" w:cs="SimHei"/>
          <w:spacing w:val="9"/>
        </w:rPr>
        <w:t>二、</w:t>
      </w:r>
      <w:r>
        <w:rPr>
          <w:rFonts w:ascii="SimHei" w:hAnsi="SimHei" w:eastAsia="SimHei" w:cs="SimHei"/>
          <w:sz w:val="30"/>
          <w:szCs w:val="30"/>
          <w:spacing w:val="9"/>
        </w:rPr>
        <w:t>发行人</w:t>
      </w:r>
      <w:r>
        <w:rPr>
          <w:rFonts w:ascii="SimHei" w:hAnsi="SimHei" w:eastAsia="SimHei" w:cs="SimHei"/>
          <w:spacing w:val="9"/>
        </w:rPr>
        <w:t>业务经营情况</w:t>
      </w:r>
      <w:r>
        <w:rPr>
          <w:spacing w:val="9"/>
        </w:rPr>
        <w:t>（非首次备案仅需说明变化情</w:t>
      </w:r>
      <w:r>
        <w:rPr>
          <w:spacing w:val="17"/>
        </w:rPr>
        <w:t xml:space="preserve"> </w:t>
      </w:r>
      <w:r>
        <w:rPr>
          <w:spacing w:val="-1"/>
        </w:rPr>
        <w:t>况）</w:t>
      </w:r>
    </w:p>
    <w:p>
      <w:pPr>
        <w:pStyle w:val="BodyText"/>
        <w:ind w:left="692"/>
        <w:spacing w:before="121" w:line="206" w:lineRule="auto"/>
        <w:outlineLvl w:val="1"/>
        <w:rPr/>
      </w:pP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5"/>
        </w:rPr>
        <w:t>、业务经营涉及外商投资准入情况</w:t>
      </w:r>
    </w:p>
    <w:p>
      <w:pPr>
        <w:pStyle w:val="BodyText"/>
        <w:ind w:left="38" w:right="116" w:firstLine="636"/>
        <w:spacing w:before="102" w:line="248" w:lineRule="auto"/>
        <w:rPr/>
      </w:pPr>
      <w:r>
        <w:rPr>
          <w:spacing w:val="8"/>
        </w:rPr>
        <w:t>发行人（含子公司）业务牌照资质涉及外商投资准入限</w:t>
      </w:r>
      <w:r>
        <w:rPr>
          <w:spacing w:val="12"/>
        </w:rPr>
        <w:t xml:space="preserve"> </w:t>
      </w:r>
      <w:r>
        <w:rPr>
          <w:spacing w:val="5"/>
        </w:rPr>
        <w:t>制或禁止领域情况。</w:t>
      </w:r>
    </w:p>
    <w:p>
      <w:pPr>
        <w:pStyle w:val="BodyText"/>
        <w:ind w:left="661"/>
        <w:spacing w:before="22" w:line="207" w:lineRule="auto"/>
        <w:rPr/>
      </w:pP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5"/>
        </w:rPr>
        <w:t>、保密和档案管理情况</w:t>
      </w:r>
    </w:p>
    <w:p>
      <w:pPr>
        <w:pStyle w:val="BodyText"/>
        <w:ind w:left="30" w:right="116" w:firstLine="651"/>
        <w:spacing w:before="108" w:line="251" w:lineRule="auto"/>
        <w:rPr/>
      </w:pPr>
      <w:r>
        <w:rPr>
          <w:spacing w:val="22"/>
        </w:rPr>
        <w:t>简要说明发行人关于保密和档案管理制度建设及运行</w:t>
      </w:r>
      <w:r>
        <w:rPr/>
        <w:t xml:space="preserve"> </w:t>
      </w:r>
      <w:r>
        <w:rPr>
          <w:spacing w:val="6"/>
        </w:rPr>
        <w:t>情况</w:t>
      </w:r>
      <w:r>
        <w:rPr>
          <w:spacing w:val="-20"/>
        </w:rPr>
        <w:t xml:space="preserve"> </w:t>
      </w:r>
      <w:r>
        <w:rPr>
          <w:spacing w:val="6"/>
        </w:rPr>
        <w:t>，对《关于加强境内企业境外发行证券和上市相关保密</w:t>
      </w:r>
      <w:r>
        <w:rPr/>
        <w:t xml:space="preserve"> </w:t>
      </w:r>
      <w:r>
        <w:rPr>
          <w:spacing w:val="7"/>
        </w:rPr>
        <w:t>和档案管理工作的规定》有关要求的执行情况</w:t>
      </w:r>
      <w:r>
        <w:rPr>
          <w:spacing w:val="-46"/>
        </w:rPr>
        <w:t xml:space="preserve"> </w:t>
      </w:r>
      <w:r>
        <w:rPr>
          <w:spacing w:val="7"/>
        </w:rPr>
        <w:t>。主要包括：</w:t>
      </w:r>
      <w:r>
        <w:rPr/>
        <w:t xml:space="preserve"> </w:t>
      </w:r>
      <w:r>
        <w:rPr>
          <w:spacing w:val="6"/>
        </w:rPr>
        <w:t>公司是否建立了较为完善的保密和档案工作制度</w:t>
      </w:r>
      <w:r>
        <w:rPr>
          <w:spacing w:val="-22"/>
        </w:rPr>
        <w:t xml:space="preserve"> </w:t>
      </w:r>
      <w:r>
        <w:rPr>
          <w:spacing w:val="6"/>
        </w:rPr>
        <w:t>；公司向有</w:t>
      </w:r>
      <w:r>
        <w:rPr/>
        <w:t xml:space="preserve"> </w:t>
      </w:r>
      <w:r>
        <w:rPr>
          <w:spacing w:val="7"/>
        </w:rPr>
        <w:t>关证券公司</w:t>
      </w:r>
      <w:r>
        <w:rPr>
          <w:spacing w:val="-48"/>
        </w:rPr>
        <w:t xml:space="preserve"> </w:t>
      </w:r>
      <w:r>
        <w:rPr>
          <w:spacing w:val="7"/>
        </w:rPr>
        <w:t>、证券服务机构、境外监管机构等单位和个人提</w:t>
      </w:r>
      <w:r>
        <w:rPr/>
        <w:t xml:space="preserve"> </w:t>
      </w:r>
      <w:r>
        <w:rPr>
          <w:spacing w:val="6"/>
        </w:rPr>
        <w:t>供文件资料前</w:t>
      </w:r>
      <w:r>
        <w:rPr>
          <w:spacing w:val="-37"/>
        </w:rPr>
        <w:t xml:space="preserve"> </w:t>
      </w:r>
      <w:r>
        <w:rPr>
          <w:spacing w:val="6"/>
        </w:rPr>
        <w:t>，</w:t>
      </w:r>
      <w:r>
        <w:rPr>
          <w:spacing w:val="-67"/>
        </w:rPr>
        <w:t xml:space="preserve"> </w:t>
      </w:r>
      <w:r>
        <w:rPr>
          <w:spacing w:val="6"/>
        </w:rPr>
        <w:t>有无对文件资料中是否含有</w:t>
      </w:r>
      <w:r>
        <w:rPr>
          <w:spacing w:val="5"/>
        </w:rPr>
        <w:t>涉及国家秘密、</w:t>
      </w:r>
      <w:r>
        <w:rPr/>
        <w:t xml:space="preserve"> </w:t>
      </w:r>
      <w:r>
        <w:rPr>
          <w:spacing w:val="7"/>
        </w:rPr>
        <w:t>国家机关工作秘密</w:t>
      </w:r>
      <w:r>
        <w:rPr>
          <w:spacing w:val="-48"/>
        </w:rPr>
        <w:t xml:space="preserve"> </w:t>
      </w:r>
      <w:r>
        <w:rPr>
          <w:spacing w:val="7"/>
        </w:rPr>
        <w:t>、其他泄露后会对国家安全或者公共利益</w:t>
      </w:r>
      <w:r>
        <w:rPr/>
        <w:t xml:space="preserve"> </w:t>
      </w:r>
      <w:r>
        <w:rPr>
          <w:spacing w:val="7"/>
        </w:rPr>
        <w:t>造成不利影响的信息进行审查。若审查发现存在此类信</w:t>
      </w:r>
      <w:r>
        <w:rPr>
          <w:spacing w:val="6"/>
        </w:rPr>
        <w:t>息，</w:t>
      </w:r>
    </w:p>
    <w:p>
      <w:pPr>
        <w:spacing w:line="251" w:lineRule="auto"/>
        <w:sectPr>
          <w:footerReference w:type="default" r:id="rId5"/>
          <w:pgSz w:w="11906" w:h="16839"/>
          <w:pgMar w:top="1431" w:right="1683" w:bottom="1209" w:left="1785" w:header="0" w:footer="988" w:gutter="0"/>
        </w:sectPr>
        <w:rPr/>
      </w:pPr>
    </w:p>
    <w:p>
      <w:pPr>
        <w:pStyle w:val="BodyText"/>
        <w:ind w:left="43" w:right="16" w:hanging="11"/>
        <w:spacing w:before="173" w:line="249" w:lineRule="auto"/>
        <w:rPr/>
      </w:pPr>
      <w:r>
        <w:rPr>
          <w:spacing w:val="6"/>
        </w:rPr>
        <w:t>公司是否在提供前按照有关规定履行了相应程序</w:t>
      </w:r>
      <w:r>
        <w:rPr>
          <w:spacing w:val="-24"/>
        </w:rPr>
        <w:t xml:space="preserve"> </w:t>
      </w:r>
      <w:r>
        <w:rPr>
          <w:spacing w:val="6"/>
        </w:rPr>
        <w:t>，并就相关</w:t>
      </w:r>
      <w:r>
        <w:rPr/>
        <w:t xml:space="preserve"> </w:t>
      </w:r>
      <w:r>
        <w:rPr>
          <w:spacing w:val="8"/>
        </w:rPr>
        <w:t>情况向证券公司、证券服务机构提供书面说</w:t>
      </w:r>
      <w:r>
        <w:rPr>
          <w:spacing w:val="7"/>
        </w:rPr>
        <w:t>明。</w:t>
      </w:r>
    </w:p>
    <w:p>
      <w:pPr>
        <w:ind w:left="877"/>
        <w:spacing w:before="14" w:line="411" w:lineRule="exact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三、本次发行上市方案</w:t>
      </w:r>
    </w:p>
    <w:p>
      <w:pPr>
        <w:pStyle w:val="BodyText"/>
        <w:ind w:left="645"/>
        <w:spacing w:before="159" w:line="196" w:lineRule="auto"/>
        <w:outlineLvl w:val="2"/>
        <w:rPr/>
      </w:pPr>
      <w:r>
        <w:rPr>
          <w:spacing w:val="11"/>
        </w:rPr>
        <w:t>（一）具体方案</w:t>
      </w:r>
    </w:p>
    <w:p>
      <w:pPr>
        <w:pStyle w:val="BodyText"/>
        <w:ind w:left="27" w:right="16" w:firstLine="664"/>
        <w:spacing w:before="122" w:line="241" w:lineRule="auto"/>
        <w:rPr/>
      </w:pP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6"/>
        </w:rPr>
        <w:t>、发行存托凭证的份数</w:t>
      </w:r>
      <w:r>
        <w:rPr>
          <w:spacing w:val="-52"/>
        </w:rPr>
        <w:t xml:space="preserve"> </w:t>
      </w:r>
      <w:r>
        <w:rPr>
          <w:spacing w:val="6"/>
        </w:rPr>
        <w:t>、与基础证券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6"/>
        </w:rPr>
        <w:t>股股票的转换</w:t>
      </w:r>
      <w:r>
        <w:rPr/>
        <w:t xml:space="preserve"> </w:t>
      </w:r>
      <w:r>
        <w:rPr>
          <w:spacing w:val="4"/>
        </w:rPr>
        <w:t>率、对应新增基础证券 </w:t>
      </w:r>
      <w:r>
        <w:rPr>
          <w:rFonts w:ascii="Times New Roman" w:hAnsi="Times New Roman" w:eastAsia="Times New Roman" w:cs="Times New Roman"/>
          <w:spacing w:val="4"/>
        </w:rPr>
        <w:t>A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4"/>
        </w:rPr>
        <w:t>股股数占发行前总股本比例、预计</w:t>
      </w:r>
      <w:r>
        <w:rPr/>
        <w:t xml:space="preserve"> </w:t>
      </w:r>
      <w:r>
        <w:rPr>
          <w:spacing w:val="6"/>
        </w:rPr>
        <w:t>募集资金量以及存托托管安排等</w:t>
      </w:r>
      <w:r>
        <w:rPr>
          <w:spacing w:val="-19"/>
        </w:rPr>
        <w:t xml:space="preserve"> </w:t>
      </w:r>
      <w:r>
        <w:rPr>
          <w:spacing w:val="6"/>
        </w:rPr>
        <w:t>，并列表说明发行前后股权</w:t>
      </w:r>
      <w:r>
        <w:rPr/>
        <w:t xml:space="preserve"> </w:t>
      </w:r>
      <w:r>
        <w:rPr>
          <w:spacing w:val="6"/>
        </w:rPr>
        <w:t>结构的变化情况。</w:t>
      </w:r>
    </w:p>
    <w:p>
      <w:pPr>
        <w:pStyle w:val="BodyText"/>
        <w:ind w:left="44" w:right="14" w:firstLine="617"/>
        <w:spacing w:before="97" w:line="238" w:lineRule="auto"/>
        <w:rPr/>
      </w:pP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5"/>
        </w:rPr>
        <w:t>、发行方式和发行对象</w:t>
      </w:r>
      <w:r>
        <w:rPr>
          <w:spacing w:val="-49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已确定发行对象的</w:t>
      </w:r>
      <w:r>
        <w:rPr>
          <w:spacing w:val="-30"/>
        </w:rPr>
        <w:t xml:space="preserve"> </w:t>
      </w:r>
      <w:r>
        <w:rPr>
          <w:spacing w:val="5"/>
        </w:rPr>
        <w:t>，</w:t>
      </w:r>
      <w:r>
        <w:rPr>
          <w:spacing w:val="-59"/>
        </w:rPr>
        <w:t xml:space="preserve"> </w:t>
      </w:r>
      <w:r>
        <w:rPr>
          <w:spacing w:val="5"/>
        </w:rPr>
        <w:t>应当说</w:t>
      </w:r>
      <w:r>
        <w:rPr/>
        <w:t xml:space="preserve"> </w:t>
      </w:r>
      <w:r>
        <w:rPr>
          <w:spacing w:val="8"/>
        </w:rPr>
        <w:t>明发行对象的基本情况及与发行人、发行人股东的关联关系</w:t>
      </w:r>
      <w:r>
        <w:rPr>
          <w:spacing w:val="4"/>
        </w:rPr>
        <w:t xml:space="preserve"> </w:t>
      </w:r>
      <w:r>
        <w:rPr>
          <w:spacing w:val="-4"/>
        </w:rPr>
        <w:t>情况。</w:t>
      </w:r>
    </w:p>
    <w:p>
      <w:pPr>
        <w:pStyle w:val="BodyText"/>
        <w:ind w:left="667"/>
        <w:spacing w:before="101" w:line="206" w:lineRule="auto"/>
        <w:rPr/>
      </w:pPr>
      <w:r>
        <w:rPr>
          <w:rFonts w:ascii="Times New Roman" w:hAnsi="Times New Roman" w:eastAsia="Times New Roman" w:cs="Times New Roman"/>
          <w:spacing w:val="7"/>
        </w:rPr>
        <w:t>3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7"/>
        </w:rPr>
        <w:t>、履行董事会、股东大会等内部决策程序情况。</w:t>
      </w:r>
    </w:p>
    <w:p>
      <w:pPr>
        <w:pStyle w:val="BodyText"/>
        <w:ind w:left="4" w:right="14" w:firstLine="655"/>
        <w:spacing w:before="101" w:line="228" w:lineRule="auto"/>
        <w:rPr/>
      </w:pPr>
      <w:r>
        <w:rPr>
          <w:rFonts w:ascii="Times New Roman" w:hAnsi="Times New Roman" w:eastAsia="Times New Roman" w:cs="Times New Roman"/>
          <w:spacing w:val="12"/>
        </w:rPr>
        <w:t>4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2"/>
        </w:rPr>
        <w:t>、履行有关主管部门审批</w:t>
      </w:r>
      <w:r>
        <w:rPr>
          <w:spacing w:val="-50"/>
        </w:rPr>
        <w:t xml:space="preserve"> </w:t>
      </w:r>
      <w:r>
        <w:rPr>
          <w:spacing w:val="12"/>
        </w:rPr>
        <w:t>、核准或备案外部程序情况</w:t>
      </w:r>
      <w:r>
        <w:rPr/>
        <w:t xml:space="preserve"> </w:t>
      </w:r>
      <w:r>
        <w:rPr>
          <w:spacing w:val="-11"/>
        </w:rPr>
        <w:t>（ 如适用 ）。</w:t>
      </w:r>
    </w:p>
    <w:p>
      <w:pPr>
        <w:pStyle w:val="BodyText"/>
        <w:ind w:left="670"/>
        <w:spacing w:before="111" w:line="202" w:lineRule="auto"/>
        <w:rPr/>
      </w:pP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"/>
        </w:rPr>
        <w:t>、履行安全审查程序情况（ 如适用）。</w:t>
      </w:r>
    </w:p>
    <w:p>
      <w:pPr>
        <w:pStyle w:val="BodyText"/>
        <w:ind w:left="645"/>
        <w:spacing w:before="119" w:line="196" w:lineRule="auto"/>
        <w:outlineLvl w:val="2"/>
        <w:rPr/>
      </w:pPr>
      <w:r>
        <w:rPr>
          <w:spacing w:val="6"/>
        </w:rPr>
        <w:t>（二）</w:t>
      </w:r>
      <w:r>
        <w:rPr>
          <w:spacing w:val="-48"/>
        </w:rPr>
        <w:t xml:space="preserve"> </w:t>
      </w:r>
      <w:r>
        <w:rPr>
          <w:spacing w:val="6"/>
        </w:rPr>
        <w:t>募集资金用途</w:t>
      </w:r>
    </w:p>
    <w:p>
      <w:pPr>
        <w:pStyle w:val="BodyText"/>
        <w:ind w:left="27" w:right="16" w:firstLine="644"/>
        <w:spacing w:before="121" w:line="248" w:lineRule="auto"/>
        <w:rPr/>
      </w:pPr>
      <w:r>
        <w:rPr>
          <w:spacing w:val="4"/>
        </w:rPr>
        <w:t>说明募集资金运用情况</w:t>
      </w:r>
      <w:r>
        <w:rPr>
          <w:spacing w:val="-21"/>
        </w:rPr>
        <w:t xml:space="preserve"> </w:t>
      </w:r>
      <w:r>
        <w:rPr>
          <w:spacing w:val="4"/>
        </w:rPr>
        <w:t>，包括投资方向</w:t>
      </w:r>
      <w:r>
        <w:rPr>
          <w:spacing w:val="-55"/>
        </w:rPr>
        <w:t xml:space="preserve"> </w:t>
      </w:r>
      <w:r>
        <w:rPr>
          <w:spacing w:val="4"/>
        </w:rPr>
        <w:t>、使用安排等。</w:t>
      </w:r>
      <w:r>
        <w:rPr/>
        <w:t xml:space="preserve"> </w:t>
      </w:r>
      <w:r>
        <w:rPr>
          <w:spacing w:val="5"/>
        </w:rPr>
        <w:t>募集资金运用涉及履行境内审批</w:t>
      </w:r>
      <w:r>
        <w:rPr>
          <w:spacing w:val="-51"/>
        </w:rPr>
        <w:t xml:space="preserve"> </w:t>
      </w:r>
      <w:r>
        <w:rPr>
          <w:spacing w:val="5"/>
        </w:rPr>
        <w:t>、核准或备案程序的</w:t>
      </w:r>
      <w:r>
        <w:rPr>
          <w:spacing w:val="-34"/>
        </w:rPr>
        <w:t xml:space="preserve"> </w:t>
      </w:r>
      <w:r>
        <w:rPr>
          <w:spacing w:val="5"/>
        </w:rPr>
        <w:t>，说明</w:t>
      </w:r>
      <w:r>
        <w:rPr/>
        <w:t xml:space="preserve"> </w:t>
      </w:r>
      <w:r>
        <w:rPr>
          <w:spacing w:val="7"/>
        </w:rPr>
        <w:t>相关程序的履行情况。</w:t>
      </w:r>
    </w:p>
    <w:p>
      <w:pPr>
        <w:pStyle w:val="BodyText"/>
        <w:ind w:left="25" w:right="16" w:firstLine="620"/>
        <w:spacing w:line="239" w:lineRule="auto"/>
        <w:rPr/>
      </w:pPr>
      <w:r>
        <w:rPr>
          <w:spacing w:val="19"/>
        </w:rPr>
        <w:t>（</w:t>
      </w:r>
      <w:r>
        <w:rPr>
          <w:spacing w:val="-32"/>
        </w:rPr>
        <w:t xml:space="preserve"> </w:t>
      </w:r>
      <w:r>
        <w:rPr>
          <w:spacing w:val="19"/>
        </w:rPr>
        <w:t>三）</w:t>
      </w:r>
      <w:r>
        <w:rPr>
          <w:spacing w:val="-48"/>
        </w:rPr>
        <w:t xml:space="preserve"> </w:t>
      </w:r>
      <w:r>
        <w:rPr>
          <w:spacing w:val="19"/>
        </w:rPr>
        <w:t>发行上市完成情况（在同一境外市场再次发行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GDR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适用）</w:t>
      </w:r>
    </w:p>
    <w:p>
      <w:pPr>
        <w:pStyle w:val="BodyText"/>
        <w:ind w:left="40" w:right="15" w:firstLine="651"/>
        <w:spacing w:before="217" w:line="230" w:lineRule="auto"/>
        <w:rPr/>
      </w:pP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2"/>
        </w:rPr>
        <w:t>、对照《监管规则适用指引</w:t>
      </w:r>
      <w:r>
        <w:rPr>
          <w:rFonts w:ascii="Times New Roman" w:hAnsi="Times New Roman" w:eastAsia="Times New Roman" w:cs="Times New Roman"/>
          <w:spacing w:val="165"/>
          <w:w w:val="160"/>
        </w:rPr>
        <w:t>‛‛</w:t>
      </w:r>
      <w:r>
        <w:rPr>
          <w:spacing w:val="16"/>
        </w:rPr>
        <w:t>境外发行上市类第 </w:t>
      </w:r>
      <w:r>
        <w:rPr>
          <w:rFonts w:ascii="Times New Roman" w:hAnsi="Times New Roman" w:eastAsia="Times New Roman" w:cs="Times New Roman"/>
          <w:spacing w:val="16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4"/>
        </w:rPr>
        <w:t>号：</w:t>
      </w:r>
      <w:r>
        <w:rPr>
          <w:spacing w:val="-50"/>
        </w:rPr>
        <w:t xml:space="preserve"> </w:t>
      </w:r>
      <w:r>
        <w:rPr>
          <w:spacing w:val="4"/>
        </w:rPr>
        <w:t>报告内容指引》</w:t>
      </w:r>
      <w:r>
        <w:rPr>
          <w:spacing w:val="-52"/>
        </w:rPr>
        <w:t xml:space="preserve"> </w:t>
      </w:r>
      <w:r>
        <w:rPr>
          <w:spacing w:val="4"/>
        </w:rPr>
        <w:t>要求说明发行上市情况。</w:t>
      </w:r>
    </w:p>
    <w:p>
      <w:pPr>
        <w:pStyle w:val="BodyText"/>
        <w:ind w:left="661"/>
        <w:spacing w:before="101" w:line="206" w:lineRule="auto"/>
        <w:rPr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7"/>
        </w:rPr>
        <w:t>、履行董事会、股东大会等内部决策程序情况。</w:t>
      </w:r>
    </w:p>
    <w:p>
      <w:pPr>
        <w:spacing w:line="206" w:lineRule="auto"/>
        <w:sectPr>
          <w:footerReference w:type="default" r:id="rId6"/>
          <w:pgSz w:w="11906" w:h="16839"/>
          <w:pgMar w:top="1431" w:right="1785" w:bottom="1211" w:left="1785" w:header="0" w:footer="988" w:gutter="0"/>
        </w:sectPr>
        <w:rPr/>
      </w:pPr>
    </w:p>
    <w:p>
      <w:pPr>
        <w:pStyle w:val="BodyText"/>
        <w:ind w:left="4" w:right="14" w:firstLine="663"/>
        <w:spacing w:before="173" w:line="247" w:lineRule="auto"/>
        <w:rPr/>
      </w:pPr>
      <w:r>
        <w:rPr>
          <w:rFonts w:ascii="Times New Roman" w:hAnsi="Times New Roman" w:eastAsia="Times New Roman" w:cs="Times New Roman"/>
          <w:spacing w:val="12"/>
        </w:rPr>
        <w:t>3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12"/>
        </w:rPr>
        <w:t>、履行有关主管部门审批</w:t>
      </w:r>
      <w:r>
        <w:rPr>
          <w:spacing w:val="-50"/>
        </w:rPr>
        <w:t xml:space="preserve"> </w:t>
      </w:r>
      <w:r>
        <w:rPr>
          <w:spacing w:val="12"/>
        </w:rPr>
        <w:t>、核准或备案外</w:t>
      </w:r>
      <w:r>
        <w:rPr>
          <w:spacing w:val="11"/>
        </w:rPr>
        <w:t>部程序情况</w:t>
      </w:r>
      <w:r>
        <w:rPr/>
        <w:t xml:space="preserve"> </w:t>
      </w:r>
      <w:r>
        <w:rPr>
          <w:spacing w:val="-11"/>
        </w:rPr>
        <w:t>（ 如适用 ）。</w:t>
      </w:r>
    </w:p>
    <w:p>
      <w:pPr>
        <w:pStyle w:val="BodyText"/>
        <w:ind w:left="692"/>
        <w:spacing w:before="23" w:line="201" w:lineRule="auto"/>
        <w:rPr/>
      </w:pPr>
      <w:r>
        <w:rPr>
          <w:rFonts w:ascii="SimHei" w:hAnsi="SimHei" w:eastAsia="SimHei" w:cs="SimHei"/>
          <w:spacing w:val="7"/>
        </w:rPr>
        <w:t>四、承诺履行情况</w:t>
      </w:r>
      <w:r>
        <w:rPr>
          <w:spacing w:val="7"/>
        </w:rPr>
        <w:t>（如适用）</w:t>
      </w:r>
    </w:p>
    <w:p>
      <w:pPr>
        <w:pStyle w:val="BodyText"/>
        <w:ind w:left="672"/>
        <w:spacing w:before="117" w:line="207" w:lineRule="auto"/>
        <w:rPr/>
      </w:pPr>
      <w:r>
        <w:rPr>
          <w:spacing w:val="8"/>
        </w:rPr>
        <w:t>说明前次备案时作出的承诺及其履行情况。</w:t>
      </w:r>
    </w:p>
    <w:p>
      <w:pPr>
        <w:spacing w:line="207" w:lineRule="auto"/>
        <w:sectPr>
          <w:footerReference w:type="default" r:id="rId7"/>
          <w:pgSz w:w="11906" w:h="16839"/>
          <w:pgMar w:top="1431" w:right="1785" w:bottom="1209" w:left="1785" w:header="0" w:footer="988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08"/>
        <w:spacing w:before="155" w:line="200" w:lineRule="auto"/>
        <w:rPr>
          <w:sz w:val="36"/>
          <w:szCs w:val="36"/>
        </w:rPr>
      </w:pPr>
      <w:r>
        <w:rPr>
          <w:sz w:val="36"/>
          <w:szCs w:val="36"/>
          <w:spacing w:val="-1"/>
        </w:rPr>
        <w:t>境内上市公司境外发行全球存托凭证专项法律意见核查要点</w:t>
      </w:r>
    </w:p>
    <w:tbl>
      <w:tblPr>
        <w:tblStyle w:val="TableNormal"/>
        <w:tblW w:w="138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43"/>
        <w:gridCol w:w="8369"/>
        <w:gridCol w:w="1633"/>
        <w:gridCol w:w="1898"/>
      </w:tblGrid>
      <w:tr>
        <w:trPr>
          <w:trHeight w:val="1095" w:hRule="atLeast"/>
        </w:trPr>
        <w:tc>
          <w:tcPr>
            <w:tcW w:w="1943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8"/>
              <w:spacing w:before="78" w:line="218" w:lineRule="auto"/>
              <w:rPr/>
            </w:pPr>
            <w:r>
              <w:rPr>
                <w:b/>
                <w:bCs/>
                <w:spacing w:val="-14"/>
              </w:rPr>
              <w:t>类别</w:t>
            </w:r>
          </w:p>
        </w:tc>
        <w:tc>
          <w:tcPr>
            <w:tcW w:w="8369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07"/>
              <w:spacing w:before="78" w:line="217" w:lineRule="auto"/>
              <w:rPr/>
            </w:pPr>
            <w:r>
              <w:rPr>
                <w:b/>
                <w:bCs/>
                <w:spacing w:val="-5"/>
              </w:rPr>
              <w:t>核查事项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491" w:right="211" w:hanging="276"/>
              <w:spacing w:before="263" w:line="294" w:lineRule="auto"/>
              <w:rPr/>
            </w:pPr>
            <w:r>
              <w:rPr>
                <w:b/>
                <w:bCs/>
                <w:spacing w:val="-3"/>
              </w:rPr>
              <w:t>境外首次发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8"/>
              </w:rPr>
              <w:t>行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8"/>
              </w:rPr>
              <w:t>GDR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39" w:right="136" w:firstLine="95"/>
              <w:spacing w:before="263" w:line="294" w:lineRule="auto"/>
              <w:rPr/>
            </w:pPr>
            <w:r>
              <w:rPr>
                <w:b/>
                <w:bCs/>
                <w:spacing w:val="-4"/>
              </w:rPr>
              <w:t>在同一境外市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场再次发行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5"/>
              </w:rPr>
              <w:t>GDR</w:t>
            </w:r>
          </w:p>
        </w:tc>
      </w:tr>
      <w:tr>
        <w:trPr>
          <w:trHeight w:val="635" w:hRule="atLeast"/>
        </w:trPr>
        <w:tc>
          <w:tcPr>
            <w:tcW w:w="1943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78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本次发行上市</w:t>
            </w:r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24" w:right="105" w:firstLine="7"/>
              <w:spacing w:before="40" w:line="225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2"/>
              </w:rPr>
              <w:t>、是否存在《境内企业境外发行证券和上市</w:t>
            </w:r>
            <w:r>
              <w:rPr>
                <w:spacing w:val="1"/>
              </w:rPr>
              <w:t>管理试行办法》第八条及《境内</w:t>
            </w:r>
            <w:r>
              <w:rPr/>
              <w:t xml:space="preserve"> </w:t>
            </w:r>
            <w:r>
              <w:rPr>
                <w:spacing w:val="-2"/>
              </w:rPr>
              <w:t>外证券交易所互联互通存托凭证业务监管规定》第三十五条规定的禁止</w:t>
            </w:r>
            <w:r>
              <w:rPr>
                <w:spacing w:val="-3"/>
              </w:rPr>
              <w:t>情形。</w:t>
            </w:r>
          </w:p>
        </w:tc>
        <w:tc>
          <w:tcPr>
            <w:tcW w:w="1633" w:type="dxa"/>
            <w:vAlign w:val="top"/>
          </w:tcPr>
          <w:p>
            <w:pPr>
              <w:ind w:left="728"/>
              <w:spacing w:before="211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ind w:left="859"/>
              <w:spacing w:before="211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35" w:hRule="atLeast"/>
        </w:trPr>
        <w:tc>
          <w:tcPr>
            <w:tcW w:w="19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22" w:right="105" w:hanging="14"/>
              <w:spacing w:before="40" w:line="225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2"/>
              </w:rPr>
              <w:t>、是否涉及安全审查，如涉及，是否已依法履行相关安全审查程序并取得有</w:t>
            </w:r>
            <w:r>
              <w:rPr/>
              <w:t xml:space="preserve"> </w:t>
            </w:r>
            <w:r>
              <w:rPr>
                <w:spacing w:val="-2"/>
              </w:rPr>
              <w:t>关部门出具的安全审查意见。</w:t>
            </w:r>
          </w:p>
        </w:tc>
        <w:tc>
          <w:tcPr>
            <w:tcW w:w="1633" w:type="dxa"/>
            <w:vAlign w:val="top"/>
          </w:tcPr>
          <w:p>
            <w:pPr>
              <w:ind w:left="728"/>
              <w:spacing w:before="211"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6" w:hRule="atLeast"/>
        </w:trPr>
        <w:tc>
          <w:tcPr>
            <w:tcW w:w="19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09" w:right="105" w:firstLine="4"/>
              <w:spacing w:before="40" w:line="225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2"/>
              </w:rPr>
              <w:t>、是否涉及国资管理、行业监管等审批、备案或核准程序，如涉及，是否已</w:t>
            </w:r>
            <w:r>
              <w:rPr/>
              <w:t xml:space="preserve"> </w:t>
            </w:r>
            <w:r>
              <w:rPr>
                <w:spacing w:val="-2"/>
              </w:rPr>
              <w:t>依法履行。</w:t>
            </w:r>
          </w:p>
        </w:tc>
        <w:tc>
          <w:tcPr>
            <w:tcW w:w="1633" w:type="dxa"/>
            <w:vAlign w:val="top"/>
          </w:tcPr>
          <w:p>
            <w:pPr>
              <w:ind w:left="728"/>
              <w:spacing w:before="215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ind w:left="859"/>
              <w:spacing w:before="215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40" w:hRule="atLeast"/>
        </w:trPr>
        <w:tc>
          <w:tcPr>
            <w:tcW w:w="19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15" w:right="105" w:hanging="8"/>
              <w:spacing w:before="40" w:line="228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2"/>
              </w:rPr>
              <w:t>、本次发行是否涉及境外投资，是否符合《国务院办公厅转发国家发展改革</w:t>
            </w:r>
            <w:r>
              <w:rPr/>
              <w:t xml:space="preserve"> </w:t>
            </w:r>
            <w:r>
              <w:rPr>
                <w:spacing w:val="7"/>
              </w:rPr>
              <w:t>委商务部人民银行外交部关于进一步引导和规范境外</w:t>
            </w:r>
            <w:r>
              <w:rPr>
                <w:spacing w:val="6"/>
              </w:rPr>
              <w:t>投资方向指导意见的通</w:t>
            </w:r>
            <w:r>
              <w:rPr/>
              <w:t xml:space="preserve"> </w:t>
            </w:r>
            <w:r>
              <w:rPr>
                <w:spacing w:val="-5"/>
              </w:rPr>
              <w:t>知》（</w:t>
            </w:r>
            <w:r>
              <w:rPr>
                <w:spacing w:val="-51"/>
              </w:rPr>
              <w:t xml:space="preserve"> </w:t>
            </w:r>
            <w:r>
              <w:rPr>
                <w:spacing w:val="-5"/>
              </w:rPr>
              <w:t>国办发〔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2017</w:t>
            </w:r>
            <w:r>
              <w:rPr>
                <w:spacing w:val="-5"/>
              </w:rPr>
              <w:t>〕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74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号）有关规定。</w:t>
            </w:r>
          </w:p>
        </w:tc>
        <w:tc>
          <w:tcPr>
            <w:tcW w:w="1633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728"/>
              <w:spacing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859"/>
              <w:spacing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2" w:hRule="atLeast"/>
        </w:trPr>
        <w:tc>
          <w:tcPr>
            <w:tcW w:w="1943" w:type="dxa"/>
            <w:vAlign w:val="top"/>
          </w:tcPr>
          <w:p>
            <w:pPr>
              <w:ind w:left="136"/>
              <w:spacing w:before="268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保密和档案管理</w:t>
            </w:r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27" w:right="105" w:hanging="12"/>
              <w:spacing w:before="43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2"/>
              </w:rPr>
              <w:t>、发行人是否建立健全保密和档案管理制度并落实到位，是否遵守《关于加</w:t>
            </w:r>
            <w:r>
              <w:rPr/>
              <w:t xml:space="preserve"> </w:t>
            </w:r>
            <w:r>
              <w:rPr>
                <w:spacing w:val="-1"/>
              </w:rPr>
              <w:t>强境内企业境外发行证券和上市相关保密和档案管理工作的规定》。</w:t>
            </w:r>
          </w:p>
        </w:tc>
        <w:tc>
          <w:tcPr>
            <w:tcW w:w="163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728"/>
              <w:spacing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859"/>
              <w:spacing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9" w:hRule="atLeast"/>
        </w:trPr>
        <w:tc>
          <w:tcPr>
            <w:tcW w:w="1943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57"/>
              <w:spacing w:before="78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特定适用事项</w:t>
            </w:r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23" w:right="105" w:hanging="9"/>
              <w:spacing w:before="44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/>
              <w:t>、境内企业（含下属公司）业务范围涉及《外商投资准入特别管理措施（</w:t>
            </w:r>
            <w:r>
              <w:rPr>
                <w:spacing w:val="-62"/>
              </w:rPr>
              <w:t xml:space="preserve"> </w:t>
            </w:r>
            <w:r>
              <w:rPr/>
              <w:t>负</w:t>
            </w:r>
            <w:r>
              <w:rPr/>
              <w:t xml:space="preserve"> </w:t>
            </w:r>
            <w:r>
              <w:rPr>
                <w:spacing w:val="-1"/>
              </w:rPr>
              <w:t>面清单）》相关领域的，本次发行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GDR </w:t>
            </w:r>
            <w:r>
              <w:rPr>
                <w:spacing w:val="-1"/>
              </w:rPr>
              <w:t>后是否持续符合规定要求。</w:t>
            </w:r>
          </w:p>
        </w:tc>
        <w:tc>
          <w:tcPr>
            <w:tcW w:w="1633" w:type="dxa"/>
            <w:vAlign w:val="top"/>
          </w:tcPr>
          <w:p>
            <w:pPr>
              <w:ind w:left="728"/>
              <w:spacing w:before="214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ind w:left="859"/>
              <w:spacing w:before="214"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40" w:hRule="atLeast"/>
        </w:trPr>
        <w:tc>
          <w:tcPr>
            <w:tcW w:w="19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46" w:right="105" w:hanging="34"/>
              <w:spacing w:before="40" w:line="228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7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2"/>
              </w:rPr>
              <w:t>、发行人业务范围如包括房地产业务，说明房地产业务占营业收入和利润的</w:t>
            </w:r>
            <w:r>
              <w:rPr/>
              <w:t xml:space="preserve"> </w:t>
            </w:r>
            <w:r>
              <w:rPr>
                <w:spacing w:val="-2"/>
              </w:rPr>
              <w:t>比重，并核查是否存在违反国家房地产调控政策规定的情形，是否被住房和城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乡建设部门公示为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“</w:t>
            </w:r>
            <w:r>
              <w:rPr>
                <w:spacing w:val="-2"/>
              </w:rPr>
              <w:t>违法违规房地产开发企业和中介机构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”</w:t>
            </w:r>
            <w:r>
              <w:rPr>
                <w:spacing w:val="-2"/>
              </w:rPr>
              <w:t>的情形。</w:t>
            </w:r>
          </w:p>
        </w:tc>
        <w:tc>
          <w:tcPr>
            <w:tcW w:w="1633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726"/>
              <w:spacing w:line="18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19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9" w:type="dxa"/>
            <w:vAlign w:val="top"/>
          </w:tcPr>
          <w:p>
            <w:pPr>
              <w:pStyle w:val="TableText"/>
              <w:ind w:left="118"/>
              <w:spacing w:before="42" w:line="216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-3"/>
              </w:rPr>
              <w:t>、是否已履行前期备案的承诺事项。</w:t>
            </w:r>
          </w:p>
        </w:tc>
        <w:tc>
          <w:tcPr>
            <w:tcW w:w="16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8" w:type="dxa"/>
            <w:vAlign w:val="top"/>
          </w:tcPr>
          <w:p>
            <w:pPr>
              <w:ind w:left="859"/>
              <w:spacing w:before="67" w:line="18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2992" cy="11781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92" cy="11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8"/>
      <w:pgSz w:w="16839" w:h="11906"/>
      <w:pgMar w:top="1012" w:right="1662" w:bottom="1211" w:left="1327" w:header="0" w:footer="9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9"/>
      <w:spacing w:line="166" w:lineRule="auto"/>
      <w:rPr>
        <w:sz w:val="18"/>
        <w:szCs w:val="18"/>
      </w:rPr>
    </w:pPr>
    <w:r>
      <w:rPr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2"/>
      <w:spacing w:before="1" w:line="165" w:lineRule="auto"/>
      <w:rPr>
        <w:sz w:val="18"/>
        <w:szCs w:val="18"/>
      </w:rPr>
    </w:pPr>
    <w:r>
      <w:rPr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5"/>
      <w:spacing w:line="165" w:lineRule="auto"/>
      <w:rPr>
        <w:sz w:val="18"/>
        <w:szCs w:val="18"/>
      </w:rPr>
    </w:pPr>
    <w:r>
      <w:rPr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14"/>
      <w:spacing w:before="1" w:line="163" w:lineRule="auto"/>
      <w:rPr>
        <w:sz w:val="18"/>
        <w:szCs w:val="18"/>
      </w:rPr>
    </w:pPr>
    <w:r>
      <w:rPr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line="163" w:lineRule="auto"/>
      <w:rPr>
        <w:sz w:val="18"/>
        <w:szCs w:val="18"/>
      </w:rPr>
    </w:pPr>
    <w:r>
      <w:rPr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3"/>
      <w:spacing w:line="165" w:lineRule="auto"/>
      <w:rPr>
        <w:sz w:val="18"/>
        <w:szCs w:val="18"/>
      </w:rPr>
    </w:pPr>
    <w:r>
      <w:rPr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1"/>
      <w:spacing w:before="1" w:line="163" w:lineRule="auto"/>
      <w:rPr>
        <w:sz w:val="18"/>
        <w:szCs w:val="18"/>
      </w:rPr>
    </w:pPr>
    <w:r>
      <w:rPr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48"/>
      <w:spacing w:line="165" w:lineRule="auto"/>
      <w:rPr>
        <w:sz w:val="18"/>
        <w:szCs w:val="18"/>
      </w:rPr>
    </w:pPr>
    <w:r>
      <w:rPr>
        <w:sz w:val="18"/>
        <w:szCs w:val="18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footer" Target="footer2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tzl</dc:creator>
  <dcterms:created xsi:type="dcterms:W3CDTF">2023-05-16T05:46:33Z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2025-06-08T18:12:46</vt:filetime>
  </property>
</Properties>
</file>