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9173A" w14:textId="77777777" w:rsidR="00D25FCF"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23FCDD12" w14:textId="77777777" w:rsidR="00D25FCF"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hint="eastAsia"/>
          <w:bCs/>
          <w:sz w:val="32"/>
          <w:szCs w:val="32"/>
        </w:rPr>
        <w:t>2023</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12</w:t>
      </w:r>
      <w:r>
        <w:rPr>
          <w:rFonts w:ascii="Times New Roman" w:eastAsia="方正大标宋简体" w:hAnsi="Times New Roman" w:hint="eastAsia"/>
          <w:bCs/>
          <w:sz w:val="32"/>
          <w:szCs w:val="32"/>
        </w:rPr>
        <w:t>月</w:t>
      </w:r>
      <w:r>
        <w:rPr>
          <w:rFonts w:ascii="Times New Roman" w:eastAsia="方正大标宋简体" w:hAnsi="Times New Roman" w:hint="eastAsia"/>
          <w:bCs/>
          <w:sz w:val="32"/>
          <w:szCs w:val="32"/>
        </w:rPr>
        <w:t>29</w:t>
      </w:r>
      <w:r>
        <w:rPr>
          <w:rFonts w:ascii="Times New Roman" w:eastAsia="方正大标宋简体" w:hAnsi="Times New Roman" w:hint="eastAsia"/>
          <w:bCs/>
          <w:sz w:val="32"/>
          <w:szCs w:val="32"/>
        </w:rPr>
        <w:t>日—</w:t>
      </w:r>
      <w:r>
        <w:rPr>
          <w:rFonts w:ascii="Times New Roman" w:eastAsia="方正大标宋简体" w:hAnsi="Times New Roman" w:hint="eastAsia"/>
          <w:bCs/>
          <w:sz w:val="32"/>
          <w:szCs w:val="32"/>
        </w:rPr>
        <w:t>2024</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1</w:t>
      </w:r>
      <w:r>
        <w:rPr>
          <w:rFonts w:ascii="Times New Roman" w:eastAsia="方正大标宋简体" w:hAnsi="Times New Roman" w:hint="eastAsia"/>
          <w:bCs/>
          <w:sz w:val="32"/>
          <w:szCs w:val="32"/>
        </w:rPr>
        <w:t>月</w:t>
      </w:r>
      <w:r>
        <w:rPr>
          <w:rFonts w:ascii="Times New Roman" w:eastAsia="方正大标宋简体" w:hAnsi="Times New Roman" w:hint="eastAsia"/>
          <w:bCs/>
          <w:sz w:val="32"/>
          <w:szCs w:val="32"/>
        </w:rPr>
        <w:t>4</w:t>
      </w:r>
      <w:r>
        <w:rPr>
          <w:rFonts w:ascii="Times New Roman" w:eastAsia="方正大标宋简体" w:hAnsi="Times New Roman" w:hint="eastAsia"/>
          <w:bCs/>
          <w:sz w:val="32"/>
          <w:szCs w:val="32"/>
        </w:rPr>
        <w:t>日</w:t>
      </w:r>
      <w:r>
        <w:rPr>
          <w:rFonts w:ascii="Times New Roman" w:eastAsia="方正大标宋简体" w:hAnsi="Times New Roman"/>
          <w:bCs/>
          <w:sz w:val="32"/>
          <w:szCs w:val="32"/>
        </w:rPr>
        <w:t>）</w:t>
      </w:r>
    </w:p>
    <w:p w14:paraId="36B9BC94" w14:textId="77777777" w:rsidR="00D25FCF" w:rsidRDefault="00D25FCF">
      <w:pPr>
        <w:spacing w:line="560" w:lineRule="exact"/>
        <w:ind w:firstLineChars="200" w:firstLine="560"/>
        <w:jc w:val="center"/>
        <w:rPr>
          <w:rFonts w:ascii="Times New Roman" w:eastAsia="sysfST" w:hAnsi="Times New Roman"/>
          <w:b/>
          <w:sz w:val="28"/>
          <w:szCs w:val="28"/>
        </w:rPr>
      </w:pPr>
    </w:p>
    <w:p w14:paraId="0E8446B8" w14:textId="2F387536" w:rsidR="00D25FCF"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sidR="00D27932">
        <w:rPr>
          <w:rFonts w:ascii="Times New Roman" w:eastAsia="仿宋_GB2312" w:hAnsi="Times New Roman"/>
          <w:sz w:val="32"/>
          <w:szCs w:val="32"/>
        </w:rPr>
        <w:t>5</w:t>
      </w:r>
      <w:r>
        <w:rPr>
          <w:rFonts w:ascii="Times New Roman" w:eastAsia="仿宋_GB2312" w:hAnsi="Times New Roman" w:hint="eastAsia"/>
          <w:sz w:val="32"/>
          <w:szCs w:val="32"/>
        </w:rPr>
        <w:t>家</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0399C93A" w14:textId="77777777" w:rsidR="00D25FCF" w:rsidRDefault="00000000">
      <w:pPr>
        <w:spacing w:line="560" w:lineRule="exact"/>
        <w:ind w:firstLineChars="200" w:firstLine="640"/>
        <w:rPr>
          <w:rFonts w:ascii="Times New Roman" w:eastAsia="方正黑体_GBK" w:hAnsi="Times New Roman"/>
          <w:sz w:val="32"/>
          <w:szCs w:val="32"/>
          <w:lang w:val="en"/>
        </w:rPr>
      </w:pPr>
      <w:r>
        <w:rPr>
          <w:rFonts w:ascii="Times New Roman" w:eastAsia="CESI仿宋-GB2312" w:hAnsi="Times New Roman" w:hint="eastAsia"/>
          <w:sz w:val="32"/>
          <w:szCs w:val="32"/>
        </w:rPr>
        <w:t>JIADE LIMITED</w:t>
      </w:r>
      <w:r>
        <w:rPr>
          <w:rFonts w:ascii="Times New Roman" w:eastAsia="方正黑体_GBK" w:hAnsi="Times New Roman" w:hint="eastAsia"/>
          <w:sz w:val="32"/>
          <w:szCs w:val="32"/>
          <w:lang w:val="en"/>
        </w:rPr>
        <w:t>（已出具备案通知书）</w:t>
      </w:r>
    </w:p>
    <w:p w14:paraId="3DC97B61"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请你公司就以下事项补充说明，请律师进行核查并出具明确的法律意见</w:t>
      </w:r>
      <w:r>
        <w:rPr>
          <w:rFonts w:ascii="Times New Roman" w:eastAsia="CESI仿宋-GB2312" w:hAnsi="Times New Roman" w:hint="eastAsia"/>
          <w:sz w:val="32"/>
          <w:szCs w:val="32"/>
          <w:lang w:val="en"/>
        </w:rPr>
        <w:t>：</w:t>
      </w:r>
    </w:p>
    <w:p w14:paraId="758F12C0"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一、股权架构情况，请说明</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1</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股权控制架构设立的合规性，包括但不限于搭建及返程投资涉及的外汇登记、境外投资等监管程序履行情况、税费依法缴纳情况等</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2</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李源、周志容、仲泰智高、佳多智高以嘉德智高的股权认购深圳课标股权的定价依据、价格公允性及税费缴纳情况</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3</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WISMASS HK</w:t>
      </w:r>
      <w:r>
        <w:rPr>
          <w:rFonts w:ascii="Times New Roman" w:eastAsia="CESI仿宋-GB2312" w:hAnsi="Times New Roman"/>
          <w:sz w:val="32"/>
          <w:szCs w:val="32"/>
          <w:lang w:val="en"/>
        </w:rPr>
        <w:t>取得嘉德智高股权的价格公允性及税费缴纳情况</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4</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嘉德智高收购四川课标股权的税费缴纳情况</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5</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是否履行《外商投资信息报告办法》规定的报告义务。</w:t>
      </w:r>
    </w:p>
    <w:p w14:paraId="0CCF39C7"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二、股东信息情况，</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1</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请你公司结合股权结构、董事会构成及董事提名、重大事项决策机制等情况，说明公司有无控股股东或实际控制人</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2</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对照《监管指引</w:t>
      </w:r>
      <w:r>
        <w:rPr>
          <w:rFonts w:ascii="Times New Roman" w:eastAsia="CESI仿宋-GB2312" w:hAnsi="Times New Roman"/>
          <w:sz w:val="32"/>
          <w:szCs w:val="32"/>
          <w:lang w:val="en"/>
        </w:rPr>
        <w:t>-</w:t>
      </w:r>
      <w:r>
        <w:rPr>
          <w:rFonts w:ascii="Times New Roman" w:eastAsia="CESI仿宋-GB2312" w:hAnsi="Times New Roman"/>
          <w:sz w:val="32"/>
          <w:szCs w:val="32"/>
          <w:lang w:val="en"/>
        </w:rPr>
        <w:t>第</w:t>
      </w:r>
      <w:r>
        <w:rPr>
          <w:rFonts w:ascii="Times New Roman" w:eastAsia="CESI仿宋-GB2312" w:hAnsi="Times New Roman"/>
          <w:sz w:val="32"/>
          <w:szCs w:val="32"/>
          <w:lang w:val="en"/>
        </w:rPr>
        <w:t>2</w:t>
      </w:r>
      <w:r>
        <w:rPr>
          <w:rFonts w:ascii="Times New Roman" w:eastAsia="CESI仿宋-GB2312" w:hAnsi="Times New Roman"/>
          <w:sz w:val="32"/>
          <w:szCs w:val="32"/>
          <w:lang w:val="en"/>
        </w:rPr>
        <w:t>号》</w:t>
      </w:r>
      <w:r>
        <w:rPr>
          <w:rFonts w:ascii="Times New Roman" w:eastAsia="CESI仿宋-GB2312" w:hAnsi="Times New Roman"/>
          <w:sz w:val="32"/>
          <w:szCs w:val="32"/>
          <w:lang w:val="en"/>
        </w:rPr>
        <w:t>,</w:t>
      </w:r>
      <w:r>
        <w:rPr>
          <w:rFonts w:ascii="Times New Roman" w:eastAsia="CESI仿宋-GB2312" w:hAnsi="Times New Roman"/>
          <w:sz w:val="32"/>
          <w:szCs w:val="32"/>
          <w:lang w:val="en"/>
        </w:rPr>
        <w:t>说明持有发行人</w:t>
      </w:r>
      <w:r>
        <w:rPr>
          <w:rFonts w:ascii="Times New Roman" w:eastAsia="CESI仿宋-GB2312" w:hAnsi="Times New Roman"/>
          <w:sz w:val="32"/>
          <w:szCs w:val="32"/>
          <w:lang w:val="en"/>
        </w:rPr>
        <w:t>5%</w:t>
      </w:r>
      <w:r>
        <w:rPr>
          <w:rFonts w:ascii="Times New Roman" w:eastAsia="CESI仿宋-GB2312" w:hAnsi="Times New Roman"/>
          <w:sz w:val="32"/>
          <w:szCs w:val="32"/>
          <w:lang w:val="en"/>
        </w:rPr>
        <w:t>以上股份或表决权的主要股东的具体情况。</w:t>
      </w:r>
    </w:p>
    <w:p w14:paraId="04E83BAC"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三、业务合规情况，请说明公司上市募集资金用途包含职业教育培训业务，是否取得相关办学资质。</w:t>
      </w:r>
    </w:p>
    <w:p w14:paraId="5C45E7AF" w14:textId="77777777" w:rsidR="00D25FCF" w:rsidRDefault="00000000">
      <w:pPr>
        <w:spacing w:line="560" w:lineRule="exact"/>
        <w:ind w:firstLineChars="200" w:firstLine="640"/>
        <w:rPr>
          <w:rFonts w:ascii="Times New Roman" w:eastAsia="方正黑体_GBK" w:hAnsi="Times New Roman"/>
          <w:sz w:val="32"/>
          <w:szCs w:val="32"/>
          <w:lang w:val="en"/>
        </w:rPr>
      </w:pPr>
      <w:r>
        <w:rPr>
          <w:rFonts w:ascii="Times New Roman" w:eastAsia="方正黑体_GBK" w:hAnsi="Times New Roman" w:hint="eastAsia"/>
          <w:sz w:val="32"/>
          <w:szCs w:val="32"/>
        </w:rPr>
        <w:t>智慧物流环球有限公司</w:t>
      </w:r>
      <w:r>
        <w:rPr>
          <w:rFonts w:ascii="Times New Roman" w:eastAsia="方正黑体_GBK" w:hAnsi="Times New Roman" w:hint="eastAsia"/>
          <w:sz w:val="32"/>
          <w:szCs w:val="32"/>
          <w:lang w:val="en"/>
        </w:rPr>
        <w:t>（已出具备案通知书）</w:t>
      </w:r>
    </w:p>
    <w:p w14:paraId="00D6193E"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lang w:val="en"/>
        </w:rPr>
        <w:t>请你公司就以下事项补充说明，请律师进行核查并出具</w:t>
      </w:r>
      <w:r>
        <w:rPr>
          <w:rFonts w:ascii="Times New Roman" w:eastAsia="CESI仿宋-GB2312" w:hAnsi="Times New Roman" w:hint="eastAsia"/>
          <w:sz w:val="32"/>
          <w:szCs w:val="32"/>
          <w:lang w:val="en"/>
        </w:rPr>
        <w:lastRenderedPageBreak/>
        <w:t>明确的法律意见：</w:t>
      </w:r>
    </w:p>
    <w:p w14:paraId="30930BE2"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hint="eastAsia"/>
          <w:sz w:val="32"/>
          <w:szCs w:val="32"/>
          <w:lang w:val="en"/>
        </w:rPr>
        <w:t>一、股权架构情况，请补充说明：（</w:t>
      </w:r>
      <w:r>
        <w:rPr>
          <w:rFonts w:ascii="Times New Roman" w:eastAsia="CESI仿宋-GB2312" w:hAnsi="Times New Roman" w:hint="eastAsia"/>
          <w:sz w:val="32"/>
          <w:szCs w:val="32"/>
        </w:rPr>
        <w:t>1</w:t>
      </w:r>
      <w:r>
        <w:rPr>
          <w:rFonts w:ascii="Times New Roman" w:eastAsia="CESI仿宋-GB2312" w:hAnsi="Times New Roman" w:hint="eastAsia"/>
          <w:sz w:val="32"/>
          <w:szCs w:val="32"/>
          <w:lang w:val="en"/>
        </w:rPr>
        <w:t>）股权控制架构设立的合规性，包括但不限于搭建及返程投资涉及的外汇登记、境外投资、税务管理、外商投资等监管程序方面的结论性意见；（</w:t>
      </w:r>
      <w:r>
        <w:rPr>
          <w:rFonts w:ascii="Times New Roman" w:eastAsia="CESI仿宋-GB2312" w:hAnsi="Times New Roman" w:hint="eastAsia"/>
          <w:sz w:val="32"/>
          <w:szCs w:val="32"/>
        </w:rPr>
        <w:t>2</w:t>
      </w:r>
      <w:r>
        <w:rPr>
          <w:rFonts w:ascii="Times New Roman" w:eastAsia="CESI仿宋-GB2312" w:hAnsi="Times New Roman" w:hint="eastAsia"/>
          <w:sz w:val="32"/>
          <w:szCs w:val="32"/>
          <w:lang w:val="en"/>
        </w:rPr>
        <w:t>）你公司取得佳斌物流股权的具体情况，及按照《关于非居民企业间接转让财产企业所得税若干问题的公告》的相关规定进行税务申报缴纳情况；（</w:t>
      </w:r>
      <w:r>
        <w:rPr>
          <w:rFonts w:ascii="Times New Roman" w:eastAsia="CESI仿宋-GB2312" w:hAnsi="Times New Roman" w:hint="eastAsia"/>
          <w:sz w:val="32"/>
          <w:szCs w:val="32"/>
        </w:rPr>
        <w:t>3</w:t>
      </w:r>
      <w:r>
        <w:rPr>
          <w:rFonts w:ascii="Times New Roman" w:eastAsia="CESI仿宋-GB2312" w:hAnsi="Times New Roman" w:hint="eastAsia"/>
          <w:sz w:val="32"/>
          <w:szCs w:val="32"/>
          <w:lang w:val="en"/>
        </w:rPr>
        <w:t>）是否履行《外商投资信息报告办法》规定的报告义务。</w:t>
      </w:r>
    </w:p>
    <w:p w14:paraId="143BA4F6"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hint="eastAsia"/>
          <w:sz w:val="32"/>
          <w:szCs w:val="32"/>
          <w:lang w:val="en"/>
        </w:rPr>
        <w:t>二、关于主要运营实体的确定，请补充说明确定主要境内运营实体的具体依据，包括但不限于主要境内运营实体所占发行人财务报表相关数据的具体比例，是否存在其他主要境内运营实体。</w:t>
      </w:r>
    </w:p>
    <w:p w14:paraId="4F3437C3"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hint="eastAsia"/>
          <w:sz w:val="32"/>
          <w:szCs w:val="32"/>
          <w:lang w:val="en"/>
        </w:rPr>
        <w:t>三、主要境内运营实体江西佳斌物流联网有限公司和抚州飞驿汽车服务有限公司注册资本未缴足的原因及合规性，是否对公司业务运营和偿债能力构成重大影响。</w:t>
      </w:r>
    </w:p>
    <w:p w14:paraId="214C137D" w14:textId="77777777" w:rsidR="00D25FCF"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hint="eastAsia"/>
          <w:sz w:val="32"/>
          <w:szCs w:val="32"/>
          <w:lang w:val="en"/>
        </w:rPr>
        <w:t>四、股权变动情况，拟请发行人补充说明主要境内运营实体设立以来股份变动合法合规性的结论性意见。</w:t>
      </w:r>
    </w:p>
    <w:p w14:paraId="7E9463E5"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lang w:val="en"/>
        </w:rPr>
        <w:t>五、关于业务经营情况，请补充说明抚州飞驿汽车服务有限公司经营范围包含在保险公司授权范围内开展专属保险代理业务（凭授权经营），上述业务是否实际开展，如实际开展，是否取得必要的经营许可证。</w:t>
      </w:r>
    </w:p>
    <w:p w14:paraId="1DC93EF5" w14:textId="77777777" w:rsidR="00D25FCF" w:rsidRDefault="00000000">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因立夫（已出具备案通知书）</w:t>
      </w:r>
    </w:p>
    <w:p w14:paraId="4C80ECBC"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0906B6D3"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lastRenderedPageBreak/>
        <w:t>一、关于返程并购的合规性，</w:t>
      </w:r>
      <w:r>
        <w:rPr>
          <w:rFonts w:ascii="Times New Roman" w:eastAsia="CESI仿宋-GB2312" w:hAnsi="Times New Roman"/>
          <w:sz w:val="32"/>
          <w:szCs w:val="32"/>
        </w:rPr>
        <w:t>FANQI ENTERPRISE LIMITED</w:t>
      </w:r>
      <w:r>
        <w:rPr>
          <w:rFonts w:ascii="Times New Roman" w:eastAsia="CESI仿宋-GB2312" w:hAnsi="Times New Roman"/>
          <w:sz w:val="32"/>
          <w:szCs w:val="32"/>
        </w:rPr>
        <w:t>、福建因立夫科技有限公司分别收购伊瓦特机器人设备制造有限公司（以下简称</w:t>
      </w:r>
      <w:r>
        <w:rPr>
          <w:rFonts w:ascii="Times New Roman" w:eastAsia="CESI仿宋-GB2312" w:hAnsi="Times New Roman" w:hint="eastAsia"/>
          <w:sz w:val="32"/>
          <w:szCs w:val="32"/>
        </w:rPr>
        <w:t>“</w:t>
      </w:r>
      <w:r>
        <w:rPr>
          <w:rFonts w:ascii="Times New Roman" w:eastAsia="CESI仿宋-GB2312" w:hAnsi="Times New Roman"/>
          <w:sz w:val="32"/>
          <w:szCs w:val="32"/>
        </w:rPr>
        <w:t>伊瓦特</w:t>
      </w:r>
      <w:r>
        <w:rPr>
          <w:rFonts w:ascii="Times New Roman" w:eastAsia="CESI仿宋-GB2312" w:hAnsi="Times New Roman" w:hint="eastAsia"/>
          <w:sz w:val="32"/>
          <w:szCs w:val="32"/>
        </w:rPr>
        <w:t>”</w:t>
      </w:r>
      <w:r>
        <w:rPr>
          <w:rFonts w:ascii="Times New Roman" w:eastAsia="CESI仿宋-GB2312" w:hAnsi="Times New Roman"/>
          <w:sz w:val="32"/>
          <w:szCs w:val="32"/>
        </w:rPr>
        <w:t>）</w:t>
      </w:r>
      <w:r>
        <w:rPr>
          <w:rFonts w:ascii="Times New Roman" w:eastAsia="CESI仿宋-GB2312" w:hAnsi="Times New Roman"/>
          <w:sz w:val="32"/>
          <w:szCs w:val="32"/>
        </w:rPr>
        <w:t>1%</w:t>
      </w:r>
      <w:r>
        <w:rPr>
          <w:rFonts w:ascii="Times New Roman" w:eastAsia="CESI仿宋-GB2312" w:hAnsi="Times New Roman"/>
          <w:sz w:val="32"/>
          <w:szCs w:val="32"/>
        </w:rPr>
        <w:t>、</w:t>
      </w:r>
      <w:r>
        <w:rPr>
          <w:rFonts w:ascii="Times New Roman" w:eastAsia="CESI仿宋-GB2312" w:hAnsi="Times New Roman"/>
          <w:sz w:val="32"/>
          <w:szCs w:val="32"/>
        </w:rPr>
        <w:t>99%</w:t>
      </w:r>
      <w:r>
        <w:rPr>
          <w:rFonts w:ascii="Times New Roman" w:eastAsia="CESI仿宋-GB2312" w:hAnsi="Times New Roman"/>
          <w:sz w:val="32"/>
          <w:szCs w:val="32"/>
        </w:rPr>
        <w:t>的股权，请说明上述股权收购是否符合《关于外国投资者并购境内企业的规定》。</w:t>
      </w:r>
    </w:p>
    <w:p w14:paraId="61A07DEA"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二、关于公司治理情况，你公司间接自然人股东徐进良为董事会主席黄文灶配偶之弟，请说明备案报告所载</w:t>
      </w:r>
      <w:r>
        <w:rPr>
          <w:rFonts w:ascii="Times New Roman" w:eastAsia="CESI仿宋-GB2312" w:hAnsi="Times New Roman" w:hint="eastAsia"/>
          <w:sz w:val="32"/>
          <w:szCs w:val="32"/>
        </w:rPr>
        <w:t>“</w:t>
      </w:r>
      <w:r>
        <w:rPr>
          <w:rFonts w:ascii="Times New Roman" w:eastAsia="CESI仿宋-GB2312" w:hAnsi="Times New Roman"/>
          <w:sz w:val="32"/>
          <w:szCs w:val="32"/>
        </w:rPr>
        <w:t>发行人的董事、高级管理人员相互之间及与股东相互之间不存在关联关系</w:t>
      </w:r>
      <w:r>
        <w:rPr>
          <w:rFonts w:ascii="Times New Roman" w:eastAsia="CESI仿宋-GB2312" w:hAnsi="Times New Roman" w:hint="eastAsia"/>
          <w:sz w:val="32"/>
          <w:szCs w:val="32"/>
        </w:rPr>
        <w:t>”</w:t>
      </w:r>
      <w:r>
        <w:rPr>
          <w:rFonts w:ascii="Times New Roman" w:eastAsia="CESI仿宋-GB2312" w:hAnsi="Times New Roman"/>
          <w:sz w:val="32"/>
          <w:szCs w:val="32"/>
        </w:rPr>
        <w:t>与上述情况是否相符。</w:t>
      </w:r>
    </w:p>
    <w:p w14:paraId="650B5BDD"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三、关于税务处理的合规性，请说明境内运营实体伊瓦特历次股权转让税务处理合法合规的结论性意见。</w:t>
      </w:r>
    </w:p>
    <w:p w14:paraId="7FD00FAA"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四、关于行政处罚情况，</w:t>
      </w:r>
      <w:r>
        <w:rPr>
          <w:rFonts w:ascii="Times New Roman" w:eastAsia="CESI仿宋-GB2312" w:hAnsi="Times New Roman"/>
          <w:sz w:val="32"/>
          <w:szCs w:val="32"/>
        </w:rPr>
        <w:t>2021</w:t>
      </w:r>
      <w:r>
        <w:rPr>
          <w:rFonts w:ascii="Times New Roman" w:eastAsia="CESI仿宋-GB2312" w:hAnsi="Times New Roman"/>
          <w:sz w:val="32"/>
          <w:szCs w:val="32"/>
        </w:rPr>
        <w:t>年至</w:t>
      </w:r>
      <w:r>
        <w:rPr>
          <w:rFonts w:ascii="Times New Roman" w:eastAsia="CESI仿宋-GB2312" w:hAnsi="Times New Roman"/>
          <w:sz w:val="32"/>
          <w:szCs w:val="32"/>
        </w:rPr>
        <w:t>2022</w:t>
      </w:r>
      <w:r>
        <w:rPr>
          <w:rFonts w:ascii="Times New Roman" w:eastAsia="CESI仿宋-GB2312" w:hAnsi="Times New Roman"/>
          <w:sz w:val="32"/>
          <w:szCs w:val="32"/>
        </w:rPr>
        <w:t>年，伊瓦特多次被南安市住建局和城市管理局作出行政处罚，请说明行政处罚所涉违法违规行为的整改落实情况，以及是否构成本次发行上市的实质性障碍。</w:t>
      </w:r>
    </w:p>
    <w:p w14:paraId="104ED205" w14:textId="087EE9E9" w:rsidR="00755086" w:rsidRDefault="00755086" w:rsidP="00755086">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雷神能源</w:t>
      </w:r>
      <w:r>
        <w:rPr>
          <w:rFonts w:ascii="Times New Roman" w:eastAsia="方正黑体_GBK" w:hAnsi="Times New Roman" w:hint="eastAsia"/>
          <w:sz w:val="32"/>
          <w:szCs w:val="32"/>
        </w:rPr>
        <w:t>（已出具备案通知书）</w:t>
      </w:r>
    </w:p>
    <w:p w14:paraId="42FE421C" w14:textId="77777777" w:rsidR="00755086" w:rsidRDefault="00755086" w:rsidP="00755086">
      <w:pPr>
        <w:ind w:firstLineChars="200" w:firstLine="640"/>
        <w:rPr>
          <w:rFonts w:ascii="CESI仿宋-GB2312" w:eastAsia="CESI仿宋-GB2312" w:hAnsi="CESI仿宋-GB2312" w:cs="CESI仿宋-GB2312"/>
          <w:sz w:val="32"/>
          <w:szCs w:val="32"/>
        </w:rPr>
      </w:pPr>
      <w:r>
        <w:rPr>
          <w:rFonts w:ascii="CESI仿宋-GB2312" w:eastAsia="CESI仿宋-GB2312" w:hAnsi="CESI仿宋-GB2312" w:cs="CESI仿宋-GB2312" w:hint="eastAsia"/>
          <w:sz w:val="32"/>
          <w:szCs w:val="32"/>
        </w:rPr>
        <w:t>请你公司补充说明以下事项，请律师核查并出具明确的法律意见：</w:t>
      </w:r>
    </w:p>
    <w:p w14:paraId="2F3B12E6" w14:textId="77777777" w:rsidR="00755086" w:rsidRDefault="00755086" w:rsidP="00755086">
      <w:pPr>
        <w:numPr>
          <w:ilvl w:val="0"/>
          <w:numId w:val="1"/>
        </w:numPr>
        <w:suppressAutoHyphens w:val="0"/>
        <w:ind w:firstLineChars="200" w:firstLine="640"/>
        <w:rPr>
          <w:rFonts w:ascii="CESI仿宋-GB2312" w:eastAsia="CESI仿宋-GB2312" w:hAnsi="CESI仿宋-GB2312" w:cs="CESI仿宋-GB2312" w:hint="eastAsia"/>
          <w:sz w:val="32"/>
          <w:szCs w:val="32"/>
        </w:rPr>
      </w:pPr>
      <w:r>
        <w:rPr>
          <w:rFonts w:ascii="CESI仿宋-GB2312" w:eastAsia="CESI仿宋-GB2312" w:hAnsi="CESI仿宋-GB2312" w:cs="CESI仿宋-GB2312" w:hint="eastAsia"/>
          <w:sz w:val="32"/>
          <w:szCs w:val="32"/>
        </w:rPr>
        <w:t>请说明主要境内运营实体注册资本未缴足的原因及合规性，是否对公司业务运营和偿债能力造成重大影响。</w:t>
      </w:r>
    </w:p>
    <w:p w14:paraId="73442AC0" w14:textId="5DDA48CF" w:rsidR="00755086" w:rsidRPr="00755086" w:rsidRDefault="00755086" w:rsidP="00755086">
      <w:pPr>
        <w:numPr>
          <w:ilvl w:val="0"/>
          <w:numId w:val="1"/>
        </w:numPr>
        <w:suppressAutoHyphens w:val="0"/>
        <w:ind w:firstLineChars="200" w:firstLine="640"/>
        <w:rPr>
          <w:rFonts w:ascii="CESI仿宋-GB2312" w:eastAsia="CESI仿宋-GB2312" w:hAnsi="CESI仿宋-GB2312" w:cs="CESI仿宋-GB2312" w:hint="eastAsia"/>
          <w:sz w:val="32"/>
          <w:szCs w:val="32"/>
        </w:rPr>
      </w:pPr>
      <w:r>
        <w:rPr>
          <w:rFonts w:ascii="CESI仿宋-GB2312" w:eastAsia="CESI仿宋-GB2312" w:hAnsi="CESI仿宋-GB2312" w:cs="CESI仿宋-GB2312" w:hint="eastAsia"/>
          <w:sz w:val="32"/>
          <w:szCs w:val="32"/>
        </w:rPr>
        <w:t>关于股权架构：（1）关于境外搭建离岸架构和返程投资涉及的外汇登记、境外投资、外商投资等监管程序方面合规性的结论性意见；（2）请说明取得中计研技术有限公司、华油蓝海油气技术开发有限公司、雷神能源技术（南</w:t>
      </w:r>
      <w:r>
        <w:rPr>
          <w:rFonts w:ascii="CESI仿宋-GB2312" w:eastAsia="CESI仿宋-GB2312" w:hAnsi="CESI仿宋-GB2312" w:cs="CESI仿宋-GB2312" w:hint="eastAsia"/>
          <w:sz w:val="32"/>
          <w:szCs w:val="32"/>
        </w:rPr>
        <w:lastRenderedPageBreak/>
        <w:t>京）有限公司、雷神绿色能源技术开发（北京）有限公司、雷神能源技术（山东）有限公司股权的作价依据及公允性和税务处理合规性情况，是否符合《关于外国投资者并购境内企业的规定》。</w:t>
      </w:r>
    </w:p>
    <w:p w14:paraId="6BF5D98D" w14:textId="77777777" w:rsidR="00D25FCF" w:rsidRDefault="00000000">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集信国控检测</w:t>
      </w:r>
    </w:p>
    <w:p w14:paraId="51A7EC89"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322A166B"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w:t>
      </w:r>
      <w:r>
        <w:rPr>
          <w:rFonts w:ascii="Times New Roman" w:eastAsia="CESI仿宋-GB2312" w:hAnsi="Times New Roman"/>
          <w:sz w:val="32"/>
          <w:szCs w:val="32"/>
        </w:rPr>
        <w:t>你公司及你公司前身历史沿革中，关于出资、登记、变动、评估、批复等方面瑕疵，是否存在违反国有资产监督管理相关规定的情形，是否属于重大违法违规行为，是否构成本次发行上市实质性障碍。</w:t>
      </w:r>
    </w:p>
    <w:p w14:paraId="13AAC7C3" w14:textId="77777777" w:rsidR="00D25FCF"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w:t>
      </w:r>
      <w:r>
        <w:rPr>
          <w:rFonts w:ascii="Times New Roman" w:eastAsia="CESI仿宋-GB2312" w:hAnsi="Times New Roman"/>
          <w:sz w:val="32"/>
          <w:szCs w:val="32"/>
        </w:rPr>
        <w:t>请你公司说明：（</w:t>
      </w:r>
      <w:r>
        <w:rPr>
          <w:rFonts w:ascii="Times New Roman" w:eastAsia="CESI仿宋-GB2312" w:hAnsi="Times New Roman"/>
          <w:sz w:val="32"/>
          <w:szCs w:val="32"/>
        </w:rPr>
        <w:t>1</w:t>
      </w:r>
      <w:r>
        <w:rPr>
          <w:rFonts w:ascii="Times New Roman" w:eastAsia="CESI仿宋-GB2312" w:hAnsi="Times New Roman"/>
          <w:sz w:val="32"/>
          <w:szCs w:val="32"/>
        </w:rPr>
        <w:t>）是否存在被控股股东、主要股东或其他关联方占用资金的情形，是否建立合理的分红制度，并请说明相关防范关联方资金占用的内控制度和保障措施；（</w:t>
      </w:r>
      <w:r>
        <w:rPr>
          <w:rFonts w:ascii="Times New Roman" w:eastAsia="CESI仿宋-GB2312" w:hAnsi="Times New Roman"/>
          <w:sz w:val="32"/>
          <w:szCs w:val="32"/>
        </w:rPr>
        <w:t>2</w:t>
      </w:r>
      <w:r>
        <w:rPr>
          <w:rFonts w:ascii="Times New Roman" w:eastAsia="CESI仿宋-GB2312" w:hAnsi="Times New Roman"/>
          <w:sz w:val="32"/>
          <w:szCs w:val="32"/>
        </w:rPr>
        <w:t>）是否具有持续稳定独立经营能力，是否对控股股东存在重大依赖；（</w:t>
      </w:r>
      <w:r>
        <w:rPr>
          <w:rFonts w:ascii="Times New Roman" w:eastAsia="CESI仿宋-GB2312" w:hAnsi="Times New Roman"/>
          <w:sz w:val="32"/>
          <w:szCs w:val="32"/>
        </w:rPr>
        <w:t>3</w:t>
      </w:r>
      <w:r>
        <w:rPr>
          <w:rFonts w:ascii="Times New Roman" w:eastAsia="CESI仿宋-GB2312" w:hAnsi="Times New Roman"/>
          <w:sz w:val="32"/>
          <w:szCs w:val="32"/>
        </w:rPr>
        <w:t>）加强募集资金使用管理及规范募集资金用途所采取的保障措施和相关安排。</w:t>
      </w:r>
    </w:p>
    <w:p w14:paraId="19BE42DB" w14:textId="77777777" w:rsidR="00D25FCF" w:rsidRDefault="00D25FCF">
      <w:pPr>
        <w:spacing w:line="560" w:lineRule="exact"/>
        <w:rPr>
          <w:rFonts w:ascii="Times New Roman" w:eastAsia="CESI仿宋-GB2312" w:hAnsi="Times New Roman"/>
          <w:sz w:val="32"/>
          <w:szCs w:val="32"/>
        </w:rPr>
      </w:pPr>
    </w:p>
    <w:p w14:paraId="33179C2F" w14:textId="77777777" w:rsidR="00D25FCF" w:rsidRDefault="00D25FCF">
      <w:pPr>
        <w:spacing w:line="560" w:lineRule="exact"/>
        <w:rPr>
          <w:rFonts w:ascii="Times New Roman" w:eastAsia="CESI仿宋-GB2312" w:hAnsi="Times New Roman"/>
          <w:sz w:val="32"/>
          <w:szCs w:val="32"/>
        </w:rPr>
      </w:pPr>
    </w:p>
    <w:p w14:paraId="2BCF7BA3" w14:textId="77777777" w:rsidR="00D25FCF" w:rsidRDefault="00D25FCF">
      <w:pPr>
        <w:spacing w:line="560" w:lineRule="exact"/>
        <w:rPr>
          <w:rFonts w:ascii="Times New Roman" w:eastAsia="CESI仿宋-GB2312" w:hAnsi="Times New Roman"/>
          <w:sz w:val="32"/>
          <w:szCs w:val="32"/>
        </w:rPr>
      </w:pPr>
    </w:p>
    <w:sectPr w:rsidR="00D25FCF">
      <w:headerReference w:type="default"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87FF" w14:textId="77777777" w:rsidR="00D87A46" w:rsidRDefault="00D87A46">
      <w:r>
        <w:separator/>
      </w:r>
    </w:p>
  </w:endnote>
  <w:endnote w:type="continuationSeparator" w:id="0">
    <w:p w14:paraId="2EAE6B94" w14:textId="77777777" w:rsidR="00D87A46" w:rsidRDefault="00D87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00"/>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00"/>
    <w:family w:val="auto"/>
    <w:pitch w:val="default"/>
    <w:sig w:usb0="00000000" w:usb1="00000000" w:usb2="00000000" w:usb3="00000000" w:csb0="00040000" w:csb1="00000000"/>
  </w:font>
  <w:font w:name="CESI仿宋-GB2312">
    <w:altName w:val="微软雅黑"/>
    <w:charset w:val="86"/>
    <w:family w:val="auto"/>
    <w:pitch w:val="default"/>
    <w:sig w:usb0="800002AF" w:usb1="084F6CF8" w:usb2="00000010" w:usb3="00000000" w:csb0="0004000F" w:csb1="00000000"/>
  </w:font>
  <w:font w:name="方正黑体_GBK">
    <w:altName w:val="微软雅黑"/>
    <w:charset w:val="86"/>
    <w:family w:val="auto"/>
    <w:pitch w:val="default"/>
    <w:sig w:usb0="00000001" w:usb1="08000000" w:usb2="00000000" w:usb3="00000000" w:csb0="00040000" w:csb1="00000000"/>
  </w:font>
  <w:font w:name="CESI仿宋-GB13000">
    <w:altName w:val="微软雅黑"/>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96543" w14:textId="77777777" w:rsidR="00D25FCF" w:rsidRDefault="00000000">
    <w:pPr>
      <w:pStyle w:val="a3"/>
    </w:pPr>
    <w:r>
      <w:rPr>
        <w:noProof/>
      </w:rPr>
      <mc:AlternateContent>
        <mc:Choice Requires="wps">
          <w:drawing>
            <wp:anchor distT="0" distB="0" distL="114300" distR="114300" simplePos="0" relativeHeight="251659264" behindDoc="0" locked="0" layoutInCell="1" allowOverlap="1" wp14:anchorId="45F4D4F2" wp14:editId="5C9A30F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2554089" w14:textId="77777777" w:rsidR="00D25FCF"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F4D4F2"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22554089" w14:textId="77777777" w:rsidR="00D25FCF"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E9537" w14:textId="77777777" w:rsidR="00D87A46" w:rsidRDefault="00D87A46">
      <w:r>
        <w:separator/>
      </w:r>
    </w:p>
  </w:footnote>
  <w:footnote w:type="continuationSeparator" w:id="0">
    <w:p w14:paraId="0E06DF02" w14:textId="77777777" w:rsidR="00D87A46" w:rsidRDefault="00D87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96B46" w14:textId="77777777" w:rsidR="00D25FCF" w:rsidRDefault="00D25FC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DF125"/>
    <w:multiLevelType w:val="singleLevel"/>
    <w:tmpl w:val="5FFDF125"/>
    <w:lvl w:ilvl="0">
      <w:start w:val="1"/>
      <w:numFmt w:val="chineseCounting"/>
      <w:suff w:val="nothing"/>
      <w:lvlText w:val="%1、"/>
      <w:lvlJc w:val="left"/>
      <w:pPr>
        <w:ind w:left="0" w:firstLine="0"/>
      </w:pPr>
    </w:lvl>
  </w:abstractNum>
  <w:num w:numId="1" w16cid:durableId="536427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DFAF5B4"/>
    <w:rsid w:val="CDFAF5B4"/>
    <w:rsid w:val="2CBF98A1"/>
    <w:rsid w:val="2EBF36B2"/>
    <w:rsid w:val="37FE54D4"/>
    <w:rsid w:val="37FFA508"/>
    <w:rsid w:val="3DFF2E83"/>
    <w:rsid w:val="3F5E63A9"/>
    <w:rsid w:val="4F67EC1C"/>
    <w:rsid w:val="53F9EC31"/>
    <w:rsid w:val="577F03F8"/>
    <w:rsid w:val="5B3A80D2"/>
    <w:rsid w:val="5CFD5408"/>
    <w:rsid w:val="5EFF8778"/>
    <w:rsid w:val="5FBAC526"/>
    <w:rsid w:val="5FDC53C6"/>
    <w:rsid w:val="67FDA652"/>
    <w:rsid w:val="6F3CEBE0"/>
    <w:rsid w:val="6F63236F"/>
    <w:rsid w:val="6FB7BF97"/>
    <w:rsid w:val="6FBFA923"/>
    <w:rsid w:val="6FFD88D1"/>
    <w:rsid w:val="73BE761E"/>
    <w:rsid w:val="73FF2041"/>
    <w:rsid w:val="745FCC1D"/>
    <w:rsid w:val="7756AE3B"/>
    <w:rsid w:val="77FF3978"/>
    <w:rsid w:val="7AFDCF84"/>
    <w:rsid w:val="7B779CEC"/>
    <w:rsid w:val="7BB4D7E1"/>
    <w:rsid w:val="7BBF8C02"/>
    <w:rsid w:val="7BFBBAFC"/>
    <w:rsid w:val="7CBF9F3A"/>
    <w:rsid w:val="7D7FE6EC"/>
    <w:rsid w:val="7DEE8249"/>
    <w:rsid w:val="7DFE8840"/>
    <w:rsid w:val="7EB8C5C1"/>
    <w:rsid w:val="7F3948BB"/>
    <w:rsid w:val="7F9E9825"/>
    <w:rsid w:val="7FCBA352"/>
    <w:rsid w:val="7FD5D345"/>
    <w:rsid w:val="7FFFC4C4"/>
    <w:rsid w:val="7FFFCE12"/>
    <w:rsid w:val="97FAADA5"/>
    <w:rsid w:val="9B339AF2"/>
    <w:rsid w:val="9FDED63D"/>
    <w:rsid w:val="A7636F25"/>
    <w:rsid w:val="ABE5C066"/>
    <w:rsid w:val="AE7A6A90"/>
    <w:rsid w:val="B379C565"/>
    <w:rsid w:val="B3EECBF7"/>
    <w:rsid w:val="B3EF337F"/>
    <w:rsid w:val="B4FBEE68"/>
    <w:rsid w:val="B7BF8DEC"/>
    <w:rsid w:val="BB1E9A4F"/>
    <w:rsid w:val="BBD1D2C6"/>
    <w:rsid w:val="BBD6E32F"/>
    <w:rsid w:val="BBEE818F"/>
    <w:rsid w:val="BEC57CB7"/>
    <w:rsid w:val="BEDF4EA3"/>
    <w:rsid w:val="BEF31206"/>
    <w:rsid w:val="BFA631D0"/>
    <w:rsid w:val="BFBF625C"/>
    <w:rsid w:val="BFEF7422"/>
    <w:rsid w:val="CDFAF5B4"/>
    <w:rsid w:val="CFBE415F"/>
    <w:rsid w:val="D47E7E86"/>
    <w:rsid w:val="D637E125"/>
    <w:rsid w:val="DA477FC9"/>
    <w:rsid w:val="DCFC869C"/>
    <w:rsid w:val="DDE7B892"/>
    <w:rsid w:val="DFE5A22D"/>
    <w:rsid w:val="DFF77525"/>
    <w:rsid w:val="E7E4AAA3"/>
    <w:rsid w:val="E7FFEB4F"/>
    <w:rsid w:val="EAFD4E19"/>
    <w:rsid w:val="EBDF893F"/>
    <w:rsid w:val="EDF5B704"/>
    <w:rsid w:val="EFAD22A7"/>
    <w:rsid w:val="F3FBBB12"/>
    <w:rsid w:val="F3FF76A6"/>
    <w:rsid w:val="F66FFFBE"/>
    <w:rsid w:val="F6FF8ABB"/>
    <w:rsid w:val="FB7D38C0"/>
    <w:rsid w:val="FBEADAD9"/>
    <w:rsid w:val="FBFDA5AC"/>
    <w:rsid w:val="FE398695"/>
    <w:rsid w:val="FE7F3A36"/>
    <w:rsid w:val="FEDF5629"/>
    <w:rsid w:val="FEF445FD"/>
    <w:rsid w:val="FEF7DC0E"/>
    <w:rsid w:val="FEFF6E20"/>
    <w:rsid w:val="FFB9E6AD"/>
    <w:rsid w:val="FFF5A8EC"/>
    <w:rsid w:val="FFFDC110"/>
    <w:rsid w:val="FFFFD8EB"/>
    <w:rsid w:val="00755086"/>
    <w:rsid w:val="00D25FCF"/>
    <w:rsid w:val="00D27932"/>
    <w:rsid w:val="00D87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BFEB1"/>
  <w15:docId w15:val="{1EED7FAE-E19F-4C81-A45A-EFE5369A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paragraph" w:styleId="a5">
    <w:name w:val="Normal (Web)"/>
    <w:basedOn w:val="a"/>
    <w:qFormat/>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06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csrc</dc:creator>
  <cp:lastModifiedBy>淑瑶 刘</cp:lastModifiedBy>
  <cp:revision>2</cp:revision>
  <dcterms:created xsi:type="dcterms:W3CDTF">2023-10-08T09:34:00Z</dcterms:created>
  <dcterms:modified xsi:type="dcterms:W3CDTF">2024-01-05T09:28:00Z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