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ABAA48" w14:textId="77777777" w:rsidR="00194849" w:rsidRDefault="00000000">
      <w:pPr>
        <w:spacing w:line="560" w:lineRule="exact"/>
        <w:jc w:val="center"/>
        <w:rPr>
          <w:rFonts w:ascii="Times New Roman" w:eastAsia="方正大标宋简体" w:hAnsi="Times New Roman"/>
          <w:bCs/>
          <w:sz w:val="36"/>
          <w:szCs w:val="36"/>
        </w:rPr>
      </w:pPr>
      <w:r>
        <w:rPr>
          <w:rFonts w:ascii="Times New Roman" w:eastAsia="方正大标宋简体" w:hAnsi="Times New Roman"/>
          <w:bCs/>
          <w:sz w:val="36"/>
          <w:szCs w:val="36"/>
        </w:rPr>
        <w:t>境外发行上市备案补充材料要求</w:t>
      </w:r>
    </w:p>
    <w:p w14:paraId="73B0562F" w14:textId="77777777" w:rsidR="00194849" w:rsidRDefault="00000000">
      <w:pPr>
        <w:spacing w:line="560" w:lineRule="exact"/>
        <w:jc w:val="center"/>
        <w:rPr>
          <w:rFonts w:ascii="Times New Roman" w:eastAsia="方正大标宋简体" w:hAnsi="Times New Roman"/>
          <w:bCs/>
          <w:sz w:val="32"/>
          <w:szCs w:val="32"/>
        </w:rPr>
      </w:pPr>
      <w:r>
        <w:rPr>
          <w:rFonts w:ascii="Times New Roman" w:eastAsia="方正大标宋简体" w:hAnsi="Times New Roman"/>
          <w:bCs/>
          <w:sz w:val="32"/>
          <w:szCs w:val="32"/>
        </w:rPr>
        <w:t>（</w:t>
      </w:r>
      <w:r>
        <w:rPr>
          <w:rFonts w:ascii="Times New Roman" w:eastAsia="方正大标宋简体" w:hAnsi="Times New Roman" w:hint="eastAsia"/>
          <w:bCs/>
          <w:sz w:val="32"/>
          <w:szCs w:val="32"/>
        </w:rPr>
        <w:t>2024</w:t>
      </w:r>
      <w:r>
        <w:rPr>
          <w:rFonts w:ascii="Times New Roman" w:eastAsia="方正大标宋简体" w:hAnsi="Times New Roman" w:hint="eastAsia"/>
          <w:bCs/>
          <w:sz w:val="32"/>
          <w:szCs w:val="32"/>
        </w:rPr>
        <w:t>年</w:t>
      </w:r>
      <w:r>
        <w:rPr>
          <w:rFonts w:ascii="Times New Roman" w:eastAsia="方正大标宋简体" w:hAnsi="Times New Roman" w:hint="eastAsia"/>
          <w:bCs/>
          <w:sz w:val="32"/>
          <w:szCs w:val="32"/>
        </w:rPr>
        <w:t>3</w:t>
      </w:r>
      <w:r>
        <w:rPr>
          <w:rFonts w:ascii="Times New Roman" w:eastAsia="方正大标宋简体" w:hAnsi="Times New Roman" w:hint="eastAsia"/>
          <w:bCs/>
          <w:sz w:val="32"/>
          <w:szCs w:val="32"/>
        </w:rPr>
        <w:t>月</w:t>
      </w:r>
      <w:r>
        <w:rPr>
          <w:rFonts w:ascii="Times New Roman" w:eastAsia="方正大标宋简体" w:hAnsi="Times New Roman" w:hint="eastAsia"/>
          <w:bCs/>
          <w:sz w:val="32"/>
          <w:szCs w:val="32"/>
        </w:rPr>
        <w:t>8</w:t>
      </w:r>
      <w:r>
        <w:rPr>
          <w:rFonts w:ascii="Times New Roman" w:eastAsia="方正大标宋简体" w:hAnsi="Times New Roman" w:hint="eastAsia"/>
          <w:bCs/>
          <w:sz w:val="32"/>
          <w:szCs w:val="32"/>
        </w:rPr>
        <w:t>日—</w:t>
      </w:r>
      <w:r>
        <w:rPr>
          <w:rFonts w:ascii="Times New Roman" w:eastAsia="方正大标宋简体" w:hAnsi="Times New Roman" w:hint="eastAsia"/>
          <w:bCs/>
          <w:sz w:val="32"/>
          <w:szCs w:val="32"/>
        </w:rPr>
        <w:t>2024</w:t>
      </w:r>
      <w:r>
        <w:rPr>
          <w:rFonts w:ascii="Times New Roman" w:eastAsia="方正大标宋简体" w:hAnsi="Times New Roman" w:hint="eastAsia"/>
          <w:bCs/>
          <w:sz w:val="32"/>
          <w:szCs w:val="32"/>
        </w:rPr>
        <w:t>年</w:t>
      </w:r>
      <w:r>
        <w:rPr>
          <w:rFonts w:ascii="Times New Roman" w:eastAsia="方正大标宋简体" w:hAnsi="Times New Roman" w:hint="eastAsia"/>
          <w:bCs/>
          <w:sz w:val="32"/>
          <w:szCs w:val="32"/>
        </w:rPr>
        <w:t>3</w:t>
      </w:r>
      <w:r>
        <w:rPr>
          <w:rFonts w:ascii="Times New Roman" w:eastAsia="方正大标宋简体" w:hAnsi="Times New Roman" w:hint="eastAsia"/>
          <w:bCs/>
          <w:sz w:val="32"/>
          <w:szCs w:val="32"/>
        </w:rPr>
        <w:t>月</w:t>
      </w:r>
      <w:r>
        <w:rPr>
          <w:rFonts w:ascii="Times New Roman" w:eastAsia="方正大标宋简体" w:hAnsi="Times New Roman" w:hint="eastAsia"/>
          <w:bCs/>
          <w:sz w:val="32"/>
          <w:szCs w:val="32"/>
        </w:rPr>
        <w:t>14</w:t>
      </w:r>
      <w:r>
        <w:rPr>
          <w:rFonts w:ascii="Times New Roman" w:eastAsia="方正大标宋简体" w:hAnsi="Times New Roman" w:hint="eastAsia"/>
          <w:bCs/>
          <w:sz w:val="32"/>
          <w:szCs w:val="32"/>
        </w:rPr>
        <w:t>日</w:t>
      </w:r>
      <w:r>
        <w:rPr>
          <w:rFonts w:ascii="Times New Roman" w:eastAsia="方正大标宋简体" w:hAnsi="Times New Roman"/>
          <w:bCs/>
          <w:sz w:val="32"/>
          <w:szCs w:val="32"/>
        </w:rPr>
        <w:t>）</w:t>
      </w:r>
    </w:p>
    <w:p w14:paraId="4EE73499" w14:textId="77777777" w:rsidR="00194849" w:rsidRDefault="00194849">
      <w:pPr>
        <w:spacing w:line="560" w:lineRule="exact"/>
        <w:ind w:firstLineChars="200" w:firstLine="560"/>
        <w:jc w:val="center"/>
        <w:rPr>
          <w:rFonts w:ascii="Times New Roman" w:eastAsia="sysfST" w:hAnsi="Times New Roman"/>
          <w:b/>
          <w:sz w:val="28"/>
          <w:szCs w:val="28"/>
        </w:rPr>
      </w:pPr>
    </w:p>
    <w:p w14:paraId="16D99E3D" w14:textId="39901123" w:rsidR="00194849" w:rsidRDefault="00000000">
      <w:pPr>
        <w:spacing w:line="560" w:lineRule="exact"/>
        <w:ind w:firstLineChars="200" w:firstLine="640"/>
        <w:rPr>
          <w:rFonts w:ascii="Times New Roman" w:eastAsia="仿宋_GB2312" w:hAnsi="Times New Roman"/>
          <w:sz w:val="32"/>
          <w:szCs w:val="32"/>
        </w:rPr>
      </w:pPr>
      <w:r>
        <w:rPr>
          <w:rFonts w:ascii="Times New Roman" w:eastAsia="仿宋_GB2312" w:hAnsi="Times New Roman"/>
          <w:sz w:val="32"/>
          <w:szCs w:val="32"/>
        </w:rPr>
        <w:t>本周国际</w:t>
      </w:r>
      <w:r>
        <w:rPr>
          <w:rFonts w:ascii="Times New Roman" w:eastAsia="仿宋_GB2312" w:hAnsi="Times New Roman" w:hint="eastAsia"/>
          <w:sz w:val="32"/>
          <w:szCs w:val="32"/>
        </w:rPr>
        <w:t>司</w:t>
      </w:r>
      <w:r>
        <w:rPr>
          <w:rFonts w:ascii="Times New Roman" w:eastAsia="仿宋_GB2312" w:hAnsi="Times New Roman"/>
          <w:sz w:val="32"/>
          <w:szCs w:val="32"/>
        </w:rPr>
        <w:t>共对</w:t>
      </w:r>
      <w:r w:rsidR="00F108DB">
        <w:rPr>
          <w:rFonts w:ascii="Times New Roman" w:eastAsia="仿宋_GB2312" w:hAnsi="Times New Roman" w:hint="eastAsia"/>
          <w:sz w:val="32"/>
          <w:szCs w:val="32"/>
        </w:rPr>
        <w:t>5</w:t>
      </w:r>
      <w:r>
        <w:rPr>
          <w:rFonts w:ascii="Times New Roman" w:eastAsia="仿宋_GB2312" w:hAnsi="Times New Roman" w:hint="eastAsia"/>
          <w:sz w:val="32"/>
          <w:szCs w:val="32"/>
        </w:rPr>
        <w:t>家</w:t>
      </w:r>
      <w:r>
        <w:rPr>
          <w:rFonts w:ascii="Times New Roman" w:eastAsia="仿宋_GB2312" w:hAnsi="Times New Roman"/>
          <w:sz w:val="32"/>
          <w:szCs w:val="32"/>
        </w:rPr>
        <w:t>企业出具补充材料要求</w:t>
      </w:r>
      <w:r>
        <w:rPr>
          <w:rFonts w:ascii="Times New Roman" w:eastAsia="仿宋_GB2312" w:hAnsi="Times New Roman" w:hint="eastAsia"/>
          <w:sz w:val="32"/>
          <w:szCs w:val="32"/>
        </w:rPr>
        <w:t>，</w:t>
      </w:r>
      <w:r>
        <w:rPr>
          <w:rFonts w:ascii="Times New Roman" w:eastAsia="仿宋_GB2312" w:hAnsi="Times New Roman"/>
          <w:sz w:val="32"/>
          <w:szCs w:val="32"/>
        </w:rPr>
        <w:t>具体如下</w:t>
      </w:r>
      <w:r>
        <w:rPr>
          <w:rFonts w:ascii="Times New Roman" w:eastAsia="仿宋_GB2312" w:hAnsi="Times New Roman" w:hint="eastAsia"/>
          <w:sz w:val="32"/>
          <w:szCs w:val="32"/>
        </w:rPr>
        <w:t>：</w:t>
      </w:r>
    </w:p>
    <w:p w14:paraId="359836AB" w14:textId="77777777" w:rsidR="00194849" w:rsidRDefault="0000000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sz w:val="32"/>
          <w:szCs w:val="32"/>
        </w:rPr>
        <w:t>星际时尚（已</w:t>
      </w:r>
      <w:r>
        <w:rPr>
          <w:rFonts w:ascii="Times New Roman" w:eastAsia="方正黑体_GBK" w:hAnsi="Times New Roman" w:hint="eastAsia"/>
          <w:sz w:val="32"/>
          <w:szCs w:val="32"/>
        </w:rPr>
        <w:t>出具</w:t>
      </w:r>
      <w:r>
        <w:rPr>
          <w:rFonts w:ascii="Times New Roman" w:eastAsia="方正黑体_GBK" w:hAnsi="Times New Roman"/>
          <w:sz w:val="32"/>
          <w:szCs w:val="32"/>
        </w:rPr>
        <w:t>备案通知书）</w:t>
      </w:r>
    </w:p>
    <w:p w14:paraId="2B7613EA" w14:textId="77777777" w:rsidR="00194849" w:rsidRDefault="00000000">
      <w:pPr>
        <w:spacing w:line="560" w:lineRule="exact"/>
        <w:ind w:firstLineChars="200" w:firstLine="640"/>
        <w:jc w:val="left"/>
        <w:rPr>
          <w:rFonts w:ascii="Times New Roman" w:eastAsia="CESI仿宋-GB2312" w:hAnsi="Times New Roman"/>
          <w:sz w:val="32"/>
          <w:szCs w:val="32"/>
        </w:rPr>
      </w:pPr>
      <w:r>
        <w:rPr>
          <w:rFonts w:ascii="Times New Roman" w:eastAsia="CESI仿宋-GB2312" w:hAnsi="Times New Roman"/>
          <w:sz w:val="32"/>
          <w:szCs w:val="32"/>
        </w:rPr>
        <w:t>请你公司补充说明以下事项，请律师进行核查并出具明确的法律意见</w:t>
      </w:r>
      <w:r>
        <w:rPr>
          <w:rFonts w:ascii="Times New Roman" w:eastAsia="CESI仿宋-GB2312" w:hAnsi="Times New Roman"/>
          <w:sz w:val="32"/>
          <w:szCs w:val="32"/>
        </w:rPr>
        <w:t>:</w:t>
      </w:r>
    </w:p>
    <w:p w14:paraId="6BE6D105" w14:textId="77777777" w:rsidR="00194849" w:rsidRDefault="00000000">
      <w:pPr>
        <w:spacing w:line="560" w:lineRule="exact"/>
        <w:ind w:firstLineChars="200" w:firstLine="640"/>
        <w:rPr>
          <w:rFonts w:ascii="Times New Roman" w:eastAsia="CESI仿宋-GB2312" w:hAnsi="Times New Roman"/>
          <w:sz w:val="32"/>
          <w:szCs w:val="32"/>
        </w:rPr>
      </w:pPr>
      <w:r>
        <w:rPr>
          <w:rFonts w:ascii="Times New Roman" w:eastAsia="CESI仿宋-GB2312" w:hAnsi="Times New Roman"/>
          <w:sz w:val="32"/>
          <w:szCs w:val="32"/>
        </w:rPr>
        <w:t>一、请你公司说明股权架构设立的合规性。（</w:t>
      </w:r>
      <w:r>
        <w:rPr>
          <w:rFonts w:ascii="Times New Roman" w:eastAsia="CESI仿宋-GB2312" w:hAnsi="Times New Roman"/>
          <w:sz w:val="32"/>
          <w:szCs w:val="32"/>
        </w:rPr>
        <w:t>1</w:t>
      </w:r>
      <w:r>
        <w:rPr>
          <w:rFonts w:ascii="Times New Roman" w:eastAsia="CESI仿宋-GB2312" w:hAnsi="Times New Roman"/>
          <w:sz w:val="32"/>
          <w:szCs w:val="32"/>
        </w:rPr>
        <w:t>）张娉婷、詹捷、付瑶、董超、蔡剑鹏转让厦门星际时尚股权后短时间内又对厦门星际时尚进行增资的原因；（</w:t>
      </w:r>
      <w:r>
        <w:rPr>
          <w:rFonts w:ascii="Times New Roman" w:eastAsia="CESI仿宋-GB2312" w:hAnsi="Times New Roman"/>
          <w:sz w:val="32"/>
          <w:szCs w:val="32"/>
        </w:rPr>
        <w:t>2</w:t>
      </w:r>
      <w:r>
        <w:rPr>
          <w:rFonts w:ascii="Times New Roman" w:eastAsia="CESI仿宋-GB2312" w:hAnsi="Times New Roman"/>
          <w:sz w:val="32"/>
          <w:szCs w:val="32"/>
        </w:rPr>
        <w:t>）厦门星际时尚设立及历次股权变动均合法合规的结论性意见，厦门星数闪点、星际香港收购厦门星际时尚的定价依据、公允性及税费缴纳情况；（</w:t>
      </w:r>
      <w:r>
        <w:rPr>
          <w:rFonts w:ascii="Times New Roman" w:eastAsia="CESI仿宋-GB2312" w:hAnsi="Times New Roman"/>
          <w:sz w:val="32"/>
          <w:szCs w:val="32"/>
        </w:rPr>
        <w:t>3</w:t>
      </w:r>
      <w:r>
        <w:rPr>
          <w:rFonts w:ascii="Times New Roman" w:eastAsia="CESI仿宋-GB2312" w:hAnsi="Times New Roman"/>
          <w:sz w:val="32"/>
          <w:szCs w:val="32"/>
        </w:rPr>
        <w:t>）厦门星际时尚</w:t>
      </w:r>
      <w:r>
        <w:rPr>
          <w:rFonts w:ascii="Times New Roman" w:eastAsia="CESI仿宋-GB2312" w:hAnsi="Times New Roman"/>
          <w:sz w:val="32"/>
          <w:szCs w:val="32"/>
        </w:rPr>
        <w:t>2023</w:t>
      </w:r>
      <w:r>
        <w:rPr>
          <w:rFonts w:ascii="Times New Roman" w:eastAsia="CESI仿宋-GB2312" w:hAnsi="Times New Roman"/>
          <w:sz w:val="32"/>
          <w:szCs w:val="32"/>
        </w:rPr>
        <w:t>年</w:t>
      </w:r>
      <w:r>
        <w:rPr>
          <w:rFonts w:ascii="Times New Roman" w:eastAsia="CESI仿宋-GB2312" w:hAnsi="Times New Roman"/>
          <w:sz w:val="32"/>
          <w:szCs w:val="32"/>
        </w:rPr>
        <w:t>7</w:t>
      </w:r>
      <w:r>
        <w:rPr>
          <w:rFonts w:ascii="Times New Roman" w:eastAsia="CESI仿宋-GB2312" w:hAnsi="Times New Roman"/>
          <w:sz w:val="32"/>
          <w:szCs w:val="32"/>
        </w:rPr>
        <w:t>月、</w:t>
      </w:r>
      <w:r>
        <w:rPr>
          <w:rFonts w:ascii="Times New Roman" w:eastAsia="CESI仿宋-GB2312" w:hAnsi="Times New Roman"/>
          <w:sz w:val="32"/>
          <w:szCs w:val="32"/>
        </w:rPr>
        <w:t>9</w:t>
      </w:r>
      <w:r>
        <w:rPr>
          <w:rFonts w:ascii="Times New Roman" w:eastAsia="CESI仿宋-GB2312" w:hAnsi="Times New Roman"/>
          <w:sz w:val="32"/>
          <w:szCs w:val="32"/>
        </w:rPr>
        <w:t>月及</w:t>
      </w:r>
      <w:r>
        <w:rPr>
          <w:rFonts w:ascii="Times New Roman" w:eastAsia="CESI仿宋-GB2312" w:hAnsi="Times New Roman"/>
          <w:sz w:val="32"/>
          <w:szCs w:val="32"/>
        </w:rPr>
        <w:t>10</w:t>
      </w:r>
      <w:r>
        <w:rPr>
          <w:rFonts w:ascii="Times New Roman" w:eastAsia="CESI仿宋-GB2312" w:hAnsi="Times New Roman"/>
          <w:sz w:val="32"/>
          <w:szCs w:val="32"/>
        </w:rPr>
        <w:t>月股东变更所涉及股权交易的定价依据、公允性及税费缴纳情况；（</w:t>
      </w:r>
      <w:r>
        <w:rPr>
          <w:rFonts w:ascii="Times New Roman" w:eastAsia="CESI仿宋-GB2312" w:hAnsi="Times New Roman"/>
          <w:sz w:val="32"/>
          <w:szCs w:val="32"/>
        </w:rPr>
        <w:t>4</w:t>
      </w:r>
      <w:r>
        <w:rPr>
          <w:rFonts w:ascii="Times New Roman" w:eastAsia="CESI仿宋-GB2312" w:hAnsi="Times New Roman"/>
          <w:sz w:val="32"/>
          <w:szCs w:val="32"/>
        </w:rPr>
        <w:t>）厦门星数闪点、星际香港收购厦门星际时尚全部股权是否属于关联并购，是否符合《关于外国投资者并购境内企业的规定》的规定。</w:t>
      </w:r>
    </w:p>
    <w:p w14:paraId="10EDA4EE" w14:textId="77777777" w:rsidR="00194849" w:rsidRDefault="00000000">
      <w:pPr>
        <w:spacing w:line="560" w:lineRule="exact"/>
        <w:ind w:firstLineChars="200" w:firstLine="640"/>
        <w:jc w:val="left"/>
        <w:rPr>
          <w:rFonts w:ascii="Times New Roman" w:eastAsia="CESI仿宋-GB2312" w:hAnsi="Times New Roman"/>
          <w:sz w:val="32"/>
          <w:szCs w:val="32"/>
        </w:rPr>
      </w:pPr>
      <w:r>
        <w:rPr>
          <w:rFonts w:ascii="Times New Roman" w:eastAsia="CESI仿宋-GB2312" w:hAnsi="Times New Roman"/>
          <w:sz w:val="32"/>
          <w:szCs w:val="32"/>
        </w:rPr>
        <w:t>二、请你公司说明业务开展的合规性。你公司境内运营实体厦门星数闪点、厦门星际时尚经营范围包括动漫游戏开发、数字内容制作服务（不含出版发行）等，是否涉及《外商投资准入特别管理措施（负面清单）》（</w:t>
      </w:r>
      <w:r>
        <w:rPr>
          <w:rFonts w:ascii="Times New Roman" w:eastAsia="CESI仿宋-GB2312" w:hAnsi="Times New Roman"/>
          <w:sz w:val="32"/>
          <w:szCs w:val="32"/>
        </w:rPr>
        <w:t>2021</w:t>
      </w:r>
      <w:r>
        <w:rPr>
          <w:rFonts w:ascii="Times New Roman" w:eastAsia="CESI仿宋-GB2312" w:hAnsi="Times New Roman"/>
          <w:sz w:val="32"/>
          <w:szCs w:val="32"/>
        </w:rPr>
        <w:t>年版）</w:t>
      </w:r>
      <w:r>
        <w:rPr>
          <w:rFonts w:ascii="Times New Roman" w:eastAsia="CESI仿宋-GB2312" w:hAnsi="Times New Roman" w:hint="eastAsia"/>
          <w:sz w:val="32"/>
          <w:szCs w:val="32"/>
        </w:rPr>
        <w:t>“</w:t>
      </w:r>
      <w:r>
        <w:rPr>
          <w:rFonts w:ascii="Times New Roman" w:eastAsia="CESI仿宋-GB2312" w:hAnsi="Times New Roman"/>
          <w:sz w:val="32"/>
          <w:szCs w:val="32"/>
        </w:rPr>
        <w:t>音像制品和电子出版物的编辑、出版、制作业务</w:t>
      </w:r>
      <w:r>
        <w:rPr>
          <w:rFonts w:ascii="Times New Roman" w:eastAsia="CESI仿宋-GB2312" w:hAnsi="Times New Roman" w:hint="eastAsia"/>
          <w:sz w:val="32"/>
          <w:szCs w:val="32"/>
        </w:rPr>
        <w:t>”</w:t>
      </w:r>
      <w:r>
        <w:rPr>
          <w:rFonts w:ascii="Times New Roman" w:eastAsia="CESI仿宋-GB2312" w:hAnsi="Times New Roman"/>
          <w:sz w:val="32"/>
          <w:szCs w:val="32"/>
        </w:rPr>
        <w:t>等外资禁止领域，并提供明确依据。</w:t>
      </w:r>
    </w:p>
    <w:p w14:paraId="07DCF889" w14:textId="77777777" w:rsidR="00194849" w:rsidRDefault="00194849">
      <w:pPr>
        <w:spacing w:line="560" w:lineRule="exact"/>
        <w:ind w:firstLineChars="200" w:firstLine="640"/>
        <w:jc w:val="left"/>
        <w:rPr>
          <w:rFonts w:ascii="Times New Roman" w:eastAsia="CESI仿宋-GB2312" w:hAnsi="Times New Roman"/>
          <w:sz w:val="32"/>
          <w:szCs w:val="32"/>
        </w:rPr>
      </w:pPr>
    </w:p>
    <w:p w14:paraId="43374A7B" w14:textId="77777777" w:rsidR="00194849" w:rsidRDefault="0000000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lastRenderedPageBreak/>
        <w:t>禄达集团</w:t>
      </w:r>
      <w:r>
        <w:rPr>
          <w:rFonts w:ascii="Times New Roman" w:eastAsia="方正黑体_GBK" w:hAnsi="Times New Roman"/>
          <w:sz w:val="32"/>
          <w:szCs w:val="32"/>
        </w:rPr>
        <w:t>（</w:t>
      </w:r>
      <w:r>
        <w:rPr>
          <w:rFonts w:ascii="Times New Roman" w:eastAsia="方正黑体_GBK" w:hAnsi="Times New Roman" w:hint="eastAsia"/>
          <w:sz w:val="32"/>
          <w:szCs w:val="32"/>
        </w:rPr>
        <w:t>秘交转公开</w:t>
      </w:r>
      <w:r>
        <w:rPr>
          <w:rFonts w:ascii="Times New Roman" w:eastAsia="方正黑体_GBK" w:hAnsi="Times New Roman"/>
          <w:sz w:val="32"/>
          <w:szCs w:val="32"/>
        </w:rPr>
        <w:t>）</w:t>
      </w:r>
    </w:p>
    <w:p w14:paraId="3B3118B1"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请你公司补充说明以下事项，请律师核查并出具明确的法律意见：</w:t>
      </w:r>
    </w:p>
    <w:p w14:paraId="658D0721"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一、关于发行人的基本情况，请补充说明你公司设立以来的股本和股东变化情况。</w:t>
      </w:r>
    </w:p>
    <w:p w14:paraId="6E576C1B"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二、关于外商投资的合规性，请说明泰安隆泰金属制品有限公司办理境内直接投资外汇登记的情况，是否履行 《外商投资信息报告办法》规定的报告义务。</w:t>
      </w:r>
    </w:p>
    <w:p w14:paraId="2ADB2FF6"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三、关于财务数据情况，请列表说明报告期内营业收入、利润总额、净利润、总资产、净资产、现金流量情况。</w:t>
      </w:r>
    </w:p>
    <w:p w14:paraId="35CBB66D"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四、关于本次发行上市，请说明：（</w:t>
      </w:r>
      <w:r>
        <w:rPr>
          <w:rFonts w:ascii="Times New Roman" w:eastAsia="方正大标宋简体" w:hAnsi="Times New Roman" w:hint="eastAsia"/>
          <w:bCs/>
          <w:sz w:val="32"/>
          <w:szCs w:val="32"/>
        </w:rPr>
        <w:t>1</w:t>
      </w:r>
      <w:r>
        <w:rPr>
          <w:rFonts w:ascii="CESI仿宋-GB13000" w:eastAsia="CESI仿宋-GB13000" w:hAnsi="CESI仿宋-GB13000" w:cs="CESI仿宋-GB13000" w:hint="eastAsia"/>
          <w:sz w:val="32"/>
          <w:szCs w:val="32"/>
        </w:rPr>
        <w:t>）是否存在《境内企业境外发行证券和上市管理试行办法》第八条规定的“境内企业或者其控股股东、实际控制人最近</w:t>
      </w:r>
      <w:r>
        <w:rPr>
          <w:rFonts w:ascii="Times New Roman" w:eastAsia="方正大标宋简体" w:hAnsi="Times New Roman" w:hint="eastAsia"/>
          <w:sz w:val="32"/>
          <w:szCs w:val="32"/>
        </w:rPr>
        <w:t>3</w:t>
      </w:r>
      <w:r>
        <w:rPr>
          <w:rFonts w:ascii="CESI仿宋-GB13000" w:eastAsia="CESI仿宋-GB13000" w:hAnsi="CESI仿宋-GB13000" w:cs="CESI仿宋-GB13000" w:hint="eastAsia"/>
          <w:sz w:val="32"/>
          <w:szCs w:val="32"/>
        </w:rPr>
        <w:t>年内存在贪污、贿赂、侵占财产、挪用财产或者破坏社会主义市场经济秩序的刑事犯罪”及“境内企业因涉嫌犯罪或者重大违法违规行为正在被依法立案调查，尚未有明确结论意见”的情形；（</w:t>
      </w:r>
      <w:r>
        <w:rPr>
          <w:rFonts w:ascii="Times New Roman" w:eastAsia="方正大标宋简体" w:hAnsi="Times New Roman" w:hint="eastAsia"/>
          <w:sz w:val="32"/>
          <w:szCs w:val="32"/>
        </w:rPr>
        <w:t>2</w:t>
      </w:r>
      <w:r>
        <w:rPr>
          <w:rFonts w:ascii="CESI仿宋-GB13000" w:eastAsia="CESI仿宋-GB13000" w:hAnsi="CESI仿宋-GB13000" w:cs="CESI仿宋-GB13000" w:hint="eastAsia"/>
          <w:sz w:val="32"/>
          <w:szCs w:val="32"/>
        </w:rPr>
        <w:t>）本次发行股数、占发行后总股本比例、预计募集资金量（如有)，并列表说明发行前后股权结构的变化情况。</w:t>
      </w:r>
    </w:p>
    <w:p w14:paraId="63224711"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五、关于安全生产情况，</w:t>
      </w:r>
      <w:r>
        <w:rPr>
          <w:rFonts w:ascii="Times New Roman" w:eastAsia="方正大标宋简体" w:hAnsi="Times New Roman" w:hint="eastAsia"/>
          <w:sz w:val="32"/>
          <w:szCs w:val="32"/>
        </w:rPr>
        <w:t>2021</w:t>
      </w:r>
      <w:r>
        <w:rPr>
          <w:rFonts w:ascii="CESI仿宋-GB13000" w:eastAsia="CESI仿宋-GB13000" w:hAnsi="CESI仿宋-GB13000" w:cs="CESI仿宋-GB13000" w:hint="eastAsia"/>
          <w:sz w:val="32"/>
          <w:szCs w:val="32"/>
        </w:rPr>
        <w:t>年至</w:t>
      </w:r>
      <w:r>
        <w:rPr>
          <w:rFonts w:ascii="Times New Roman" w:eastAsia="方正大标宋简体" w:hAnsi="Times New Roman" w:hint="eastAsia"/>
          <w:sz w:val="32"/>
          <w:szCs w:val="32"/>
        </w:rPr>
        <w:t>2023</w:t>
      </w:r>
      <w:r>
        <w:rPr>
          <w:rFonts w:ascii="CESI仿宋-GB13000" w:eastAsia="CESI仿宋-GB13000" w:hAnsi="CESI仿宋-GB13000" w:cs="CESI仿宋-GB13000" w:hint="eastAsia"/>
          <w:sz w:val="32"/>
          <w:szCs w:val="32"/>
        </w:rPr>
        <w:t>年，泰安隆泰金属制品有限公司曾多次发生安全生产事故，请说明是否构成本次发行上市的实质障碍，以及保障安全生产的相关措施及执行效果。</w:t>
      </w:r>
    </w:p>
    <w:p w14:paraId="350D3E5A" w14:textId="77777777" w:rsidR="00194849" w:rsidRDefault="00000000">
      <w:pPr>
        <w:spacing w:line="560" w:lineRule="exact"/>
        <w:ind w:firstLineChars="200" w:firstLine="640"/>
        <w:rPr>
          <w:rFonts w:ascii="Times New Roman" w:eastAsia="方正黑体_GBK" w:hAnsi="Times New Roman"/>
          <w:sz w:val="32"/>
          <w:szCs w:val="32"/>
        </w:rPr>
      </w:pPr>
      <w:r>
        <w:rPr>
          <w:rFonts w:ascii="Times New Roman" w:eastAsia="方正黑体_GBK" w:hAnsi="Times New Roman" w:hint="eastAsia"/>
          <w:sz w:val="32"/>
          <w:szCs w:val="32"/>
        </w:rPr>
        <w:t>卡游</w:t>
      </w:r>
    </w:p>
    <w:p w14:paraId="581DE11B"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sz w:val="32"/>
          <w:szCs w:val="32"/>
        </w:rPr>
        <w:t>请你公司就以下事项补充说明，请律师进行核查并出具</w:t>
      </w:r>
      <w:r>
        <w:rPr>
          <w:rFonts w:ascii="CESI仿宋-GB13000" w:eastAsia="CESI仿宋-GB13000" w:hAnsi="CESI仿宋-GB13000" w:cs="CESI仿宋-GB13000"/>
          <w:sz w:val="32"/>
          <w:szCs w:val="32"/>
        </w:rPr>
        <w:lastRenderedPageBreak/>
        <w:t>明确的法律意见：</w:t>
      </w:r>
    </w:p>
    <w:p w14:paraId="0D519D8E"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sz w:val="32"/>
          <w:szCs w:val="32"/>
        </w:rPr>
        <w:t>一、请补充搭建股权架构及返程并购涉及的外汇登记、境外投资、外商投资、税费缴纳等监管程序方面合法合规的结论性意见，并说明返程并购的交易价格、定价依据、支付手段、支付期限及其合规性。</w:t>
      </w:r>
    </w:p>
    <w:p w14:paraId="0F1614C6"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sz w:val="32"/>
          <w:szCs w:val="32"/>
        </w:rPr>
        <w:t>二、请说明你公司现有股权激励计划是否存在入股价格异常的情况。</w:t>
      </w:r>
    </w:p>
    <w:p w14:paraId="5D27AEA5"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sz w:val="32"/>
          <w:szCs w:val="32"/>
        </w:rPr>
        <w:t>三、请说明：</w:t>
      </w:r>
      <w:r>
        <w:rPr>
          <w:rFonts w:ascii="CESI仿宋-GB13000" w:eastAsia="CESI仿宋-GB13000" w:hAnsi="CESI仿宋-GB13000" w:cs="CESI仿宋-GB13000" w:hint="eastAsia"/>
          <w:sz w:val="32"/>
          <w:szCs w:val="32"/>
        </w:rPr>
        <w:t>（</w:t>
      </w:r>
      <w:r>
        <w:rPr>
          <w:rFonts w:ascii="Times New Roman" w:eastAsia="方正大标宋简体" w:hAnsi="Times New Roman" w:hint="eastAsia"/>
          <w:sz w:val="32"/>
          <w:szCs w:val="32"/>
        </w:rPr>
        <w:t>1</w:t>
      </w:r>
      <w:r>
        <w:rPr>
          <w:rFonts w:ascii="CESI仿宋-GB13000" w:eastAsia="CESI仿宋-GB13000" w:hAnsi="CESI仿宋-GB13000" w:cs="CESI仿宋-GB13000" w:hint="eastAsia"/>
          <w:sz w:val="32"/>
          <w:szCs w:val="32"/>
        </w:rPr>
        <w:t>）</w:t>
      </w:r>
      <w:r>
        <w:rPr>
          <w:rFonts w:ascii="CESI仿宋-GB13000" w:eastAsia="CESI仿宋-GB13000" w:hAnsi="CESI仿宋-GB13000" w:cs="CESI仿宋-GB13000"/>
          <w:sz w:val="32"/>
          <w:szCs w:val="32"/>
        </w:rPr>
        <w:t>发行人及境内运营实体落实《中华人民共和国数据安全法》《数据出境安全评估办法》《工业和信息化领域数据安全管理办法（试行）》《儿童个人信息网络保护规定》等相关法律法规和政策要求的具体措施，是否已建立有效的数据安全管理制度、数据安全保护措施；（</w:t>
      </w:r>
      <w:r>
        <w:rPr>
          <w:rFonts w:ascii="Times New Roman" w:eastAsia="方正大标宋简体" w:hAnsi="Times New Roman"/>
          <w:sz w:val="32"/>
          <w:szCs w:val="32"/>
        </w:rPr>
        <w:t>2</w:t>
      </w:r>
      <w:r>
        <w:rPr>
          <w:rFonts w:ascii="CESI仿宋-GB13000" w:eastAsia="CESI仿宋-GB13000" w:hAnsi="CESI仿宋-GB13000" w:cs="CESI仿宋-GB13000"/>
          <w:sz w:val="32"/>
          <w:szCs w:val="32"/>
        </w:rPr>
        <w:t>）在向境外控制主体提供相关数据前，是否依法依规开展数据出境安全评估；（</w:t>
      </w:r>
      <w:r>
        <w:rPr>
          <w:rFonts w:ascii="Times New Roman" w:eastAsia="方正大标宋简体" w:hAnsi="Times New Roman"/>
          <w:sz w:val="32"/>
          <w:szCs w:val="32"/>
        </w:rPr>
        <w:t>3</w:t>
      </w:r>
      <w:r>
        <w:rPr>
          <w:rFonts w:ascii="CESI仿宋-GB13000" w:eastAsia="CESI仿宋-GB13000" w:hAnsi="CESI仿宋-GB13000" w:cs="CESI仿宋-GB13000"/>
          <w:sz w:val="32"/>
          <w:szCs w:val="32"/>
        </w:rPr>
        <w:t>）开发、运营的网站、</w:t>
      </w:r>
      <w:r>
        <w:rPr>
          <w:rFonts w:ascii="Times New Roman" w:eastAsia="方正大标宋简体" w:hAnsi="Times New Roman"/>
          <w:sz w:val="32"/>
          <w:szCs w:val="32"/>
        </w:rPr>
        <w:t>APP</w:t>
      </w:r>
      <w:r>
        <w:rPr>
          <w:rFonts w:ascii="CESI仿宋-GB13000" w:eastAsia="CESI仿宋-GB13000" w:hAnsi="CESI仿宋-GB13000" w:cs="CESI仿宋-GB13000"/>
          <w:sz w:val="32"/>
          <w:szCs w:val="32"/>
        </w:rPr>
        <w:t>、小程序、公众号等产品情况，收集和存储用户信息规模、数据收集使用情况，是否存在向第三方提供信息的情形，以及上市前后个人信息保护和数据安全的安排或措施。</w:t>
      </w:r>
    </w:p>
    <w:p w14:paraId="5663CB0E"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Times New Roman" w:eastAsia="方正黑体_GBK" w:hAnsi="Times New Roman" w:hint="eastAsia"/>
          <w:sz w:val="32"/>
          <w:szCs w:val="32"/>
        </w:rPr>
        <w:t>柯普尼</w:t>
      </w:r>
    </w:p>
    <w:p w14:paraId="4D71AD21"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sz w:val="32"/>
          <w:szCs w:val="32"/>
        </w:rPr>
        <w:t>请你公司就以下事项补充说明，请律师进行核查并出具明确的法律意见:</w:t>
      </w:r>
    </w:p>
    <w:p w14:paraId="1D0BAB0C"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一、</w:t>
      </w:r>
      <w:r>
        <w:rPr>
          <w:rFonts w:ascii="CESI仿宋-GB13000" w:eastAsia="CESI仿宋-GB13000" w:hAnsi="CESI仿宋-GB13000" w:cs="CESI仿宋-GB13000"/>
          <w:sz w:val="32"/>
          <w:szCs w:val="32"/>
        </w:rPr>
        <w:t>请说明：（</w:t>
      </w:r>
      <w:r>
        <w:rPr>
          <w:rFonts w:ascii="Times New Roman" w:eastAsia="方正大标宋简体" w:hAnsi="Times New Roman"/>
          <w:sz w:val="32"/>
          <w:szCs w:val="32"/>
        </w:rPr>
        <w:t>1</w:t>
      </w:r>
      <w:r>
        <w:rPr>
          <w:rFonts w:ascii="CESI仿宋-GB13000" w:eastAsia="CESI仿宋-GB13000" w:hAnsi="CESI仿宋-GB13000" w:cs="CESI仿宋-GB13000"/>
          <w:sz w:val="32"/>
          <w:szCs w:val="32"/>
        </w:rPr>
        <w:t>）境外搭建离岸架构和返程投资涉及的外汇登记、境外投资、外商投资等监管程序履行情况，并就合规性出具结论性意见；（</w:t>
      </w:r>
      <w:r>
        <w:rPr>
          <w:rFonts w:ascii="Times New Roman" w:eastAsia="方正大标宋简体" w:hAnsi="Times New Roman"/>
          <w:sz w:val="32"/>
          <w:szCs w:val="32"/>
        </w:rPr>
        <w:t>2</w:t>
      </w:r>
      <w:r>
        <w:rPr>
          <w:rFonts w:ascii="CESI仿宋-GB13000" w:eastAsia="CESI仿宋-GB13000" w:hAnsi="CESI仿宋-GB13000" w:cs="CESI仿宋-GB13000"/>
          <w:sz w:val="32"/>
          <w:szCs w:val="32"/>
        </w:rPr>
        <w:t>）江苏湃领通信科技有限公司收购泰州柯普尼股权的定价依据、公允性、价款支付情况</w:t>
      </w:r>
      <w:r>
        <w:rPr>
          <w:rFonts w:ascii="CESI仿宋-GB13000" w:eastAsia="CESI仿宋-GB13000" w:hAnsi="CESI仿宋-GB13000" w:cs="CESI仿宋-GB13000"/>
          <w:sz w:val="32"/>
          <w:szCs w:val="32"/>
        </w:rPr>
        <w:lastRenderedPageBreak/>
        <w:t>及税费缴纳情况等；（</w:t>
      </w:r>
      <w:r>
        <w:rPr>
          <w:rFonts w:ascii="Times New Roman" w:eastAsia="方正大标宋简体" w:hAnsi="Times New Roman"/>
          <w:sz w:val="32"/>
          <w:szCs w:val="32"/>
        </w:rPr>
        <w:t>3</w:t>
      </w:r>
      <w:r>
        <w:rPr>
          <w:rFonts w:ascii="CESI仿宋-GB13000" w:eastAsia="CESI仿宋-GB13000" w:hAnsi="CESI仿宋-GB13000" w:cs="CESI仿宋-GB13000"/>
          <w:sz w:val="32"/>
          <w:szCs w:val="32"/>
        </w:rPr>
        <w:t>）说明泰州柯普尼引入持股比例低于</w:t>
      </w:r>
      <w:r>
        <w:rPr>
          <w:rFonts w:ascii="Times New Roman" w:eastAsia="方正大标宋简体" w:hAnsi="Times New Roman"/>
          <w:sz w:val="32"/>
          <w:szCs w:val="32"/>
        </w:rPr>
        <w:t>1</w:t>
      </w:r>
      <w:r>
        <w:rPr>
          <w:rFonts w:ascii="CESI仿宋-GB13000" w:eastAsia="CESI仿宋-GB13000" w:hAnsi="CESI仿宋-GB13000" w:cs="CESI仿宋-GB13000" w:hint="eastAsia"/>
          <w:sz w:val="32"/>
          <w:szCs w:val="32"/>
        </w:rPr>
        <w:t>%</w:t>
      </w:r>
      <w:r>
        <w:rPr>
          <w:rFonts w:ascii="CESI仿宋-GB13000" w:eastAsia="CESI仿宋-GB13000" w:hAnsi="CESI仿宋-GB13000" w:cs="CESI仿宋-GB13000"/>
          <w:sz w:val="32"/>
          <w:szCs w:val="32"/>
        </w:rPr>
        <w:t>的境外股东的原因及合理性，并补充该次股权转让的定价依据、公允性、价款支付情况及税费缴纳情况等。</w:t>
      </w:r>
    </w:p>
    <w:p w14:paraId="71C0ADC4" w14:textId="41C10BE0" w:rsidR="00194849" w:rsidRDefault="00000000" w:rsidP="00F108DB">
      <w:pPr>
        <w:spacing w:line="560" w:lineRule="exact"/>
        <w:ind w:firstLineChars="200" w:firstLine="640"/>
        <w:rPr>
          <w:rFonts w:ascii="CESI仿宋-GB13000" w:eastAsia="CESI仿宋-GB13000" w:hAnsi="CESI仿宋-GB13000" w:cs="CESI仿宋-GB13000" w:hint="eastAsia"/>
          <w:sz w:val="32"/>
          <w:szCs w:val="32"/>
        </w:rPr>
      </w:pPr>
      <w:r>
        <w:rPr>
          <w:rFonts w:ascii="CESI仿宋-GB13000" w:eastAsia="CESI仿宋-GB13000" w:hAnsi="CESI仿宋-GB13000" w:cs="CESI仿宋-GB13000" w:hint="eastAsia"/>
          <w:sz w:val="32"/>
          <w:szCs w:val="32"/>
        </w:rPr>
        <w:t>二、</w:t>
      </w:r>
      <w:r>
        <w:rPr>
          <w:rFonts w:ascii="CESI仿宋-GB13000" w:eastAsia="CESI仿宋-GB13000" w:hAnsi="CESI仿宋-GB13000" w:cs="CESI仿宋-GB13000"/>
          <w:sz w:val="32"/>
          <w:szCs w:val="32"/>
        </w:rPr>
        <w:t>请说明境内运营实体注册资本实缴情况，若存在未缴足的，请说明未缴足的原因、合规性及其对公司运营和偿债能力的影响。</w:t>
      </w:r>
    </w:p>
    <w:p w14:paraId="07D72F6B"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Times New Roman" w:eastAsia="方正黑体_GBK" w:hAnsi="Times New Roman" w:hint="eastAsia"/>
          <w:sz w:val="32"/>
          <w:szCs w:val="32"/>
        </w:rPr>
        <w:t>钧达股份</w:t>
      </w:r>
    </w:p>
    <w:p w14:paraId="6542CF0C"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sz w:val="32"/>
          <w:szCs w:val="32"/>
        </w:rPr>
        <w:t>请你公司就以下事项补充说明，请律师进行核查并出具明确的法律意见：</w:t>
      </w:r>
    </w:p>
    <w:p w14:paraId="4F0DDB85"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一、</w:t>
      </w:r>
      <w:r>
        <w:rPr>
          <w:rFonts w:ascii="CESI仿宋-GB13000" w:eastAsia="CESI仿宋-GB13000" w:hAnsi="CESI仿宋-GB13000" w:cs="CESI仿宋-GB13000"/>
          <w:sz w:val="32"/>
          <w:szCs w:val="32"/>
        </w:rPr>
        <w:t>你公司近三年生产建设项目曾发生未办理环保验收、节能审查及验收等手续即投入生产使用情况的原因，及相关问题整改落实情况。</w:t>
      </w:r>
    </w:p>
    <w:p w14:paraId="61AB6730" w14:textId="77777777" w:rsidR="00194849" w:rsidRDefault="00000000">
      <w:pPr>
        <w:spacing w:line="560" w:lineRule="exact"/>
        <w:ind w:firstLineChars="200" w:firstLine="640"/>
        <w:rPr>
          <w:rFonts w:ascii="CESI仿宋-GB13000" w:eastAsia="CESI仿宋-GB13000" w:hAnsi="CESI仿宋-GB13000" w:cs="CESI仿宋-GB13000"/>
          <w:sz w:val="32"/>
          <w:szCs w:val="32"/>
        </w:rPr>
      </w:pPr>
      <w:r>
        <w:rPr>
          <w:rFonts w:ascii="CESI仿宋-GB13000" w:eastAsia="CESI仿宋-GB13000" w:hAnsi="CESI仿宋-GB13000" w:cs="CESI仿宋-GB13000" w:hint="eastAsia"/>
          <w:sz w:val="32"/>
          <w:szCs w:val="32"/>
        </w:rPr>
        <w:t>二、</w:t>
      </w:r>
      <w:r>
        <w:rPr>
          <w:rFonts w:ascii="CESI仿宋-GB13000" w:eastAsia="CESI仿宋-GB13000" w:hAnsi="CESI仿宋-GB13000" w:cs="CESI仿宋-GB13000"/>
          <w:sz w:val="32"/>
          <w:szCs w:val="32"/>
        </w:rPr>
        <w:t>本次发行完成后，你公司控股股东及实际控制人是否发生变化及相关依据。</w:t>
      </w:r>
    </w:p>
    <w:p w14:paraId="07A28F88" w14:textId="77777777" w:rsidR="00194849" w:rsidRDefault="00194849">
      <w:pPr>
        <w:spacing w:line="560" w:lineRule="exact"/>
        <w:ind w:firstLineChars="200" w:firstLine="640"/>
        <w:rPr>
          <w:rFonts w:ascii="CESI仿宋-GB13000" w:eastAsia="CESI仿宋-GB13000" w:hAnsi="CESI仿宋-GB13000" w:cs="CESI仿宋-GB13000"/>
          <w:sz w:val="32"/>
          <w:szCs w:val="32"/>
        </w:rPr>
      </w:pPr>
    </w:p>
    <w:p w14:paraId="026907E3" w14:textId="77777777" w:rsidR="00194849" w:rsidRDefault="00194849">
      <w:pPr>
        <w:spacing w:line="560" w:lineRule="exact"/>
        <w:ind w:firstLineChars="200" w:firstLine="640"/>
        <w:rPr>
          <w:rFonts w:ascii="CESI仿宋-GB13000" w:eastAsia="CESI仿宋-GB13000" w:hAnsi="CESI仿宋-GB13000" w:cs="CESI仿宋-GB13000"/>
          <w:sz w:val="32"/>
          <w:szCs w:val="32"/>
        </w:rPr>
      </w:pPr>
    </w:p>
    <w:p w14:paraId="12603AC7" w14:textId="77777777" w:rsidR="00194849" w:rsidRDefault="00194849">
      <w:pPr>
        <w:spacing w:line="560" w:lineRule="exact"/>
        <w:ind w:firstLineChars="200" w:firstLine="640"/>
        <w:rPr>
          <w:rFonts w:ascii="CESI仿宋-GB13000" w:eastAsia="CESI仿宋-GB13000" w:hAnsi="CESI仿宋-GB13000" w:cs="CESI仿宋-GB13000"/>
          <w:sz w:val="32"/>
          <w:szCs w:val="32"/>
        </w:rPr>
      </w:pPr>
    </w:p>
    <w:p w14:paraId="10BB9753" w14:textId="77777777" w:rsidR="00194849" w:rsidRDefault="00194849">
      <w:pPr>
        <w:spacing w:line="560" w:lineRule="exact"/>
        <w:ind w:firstLineChars="200" w:firstLine="640"/>
        <w:rPr>
          <w:rFonts w:ascii="CESI仿宋-GB13000" w:eastAsia="CESI仿宋-GB13000" w:hAnsi="CESI仿宋-GB13000" w:cs="CESI仿宋-GB13000"/>
          <w:sz w:val="32"/>
          <w:szCs w:val="32"/>
        </w:rPr>
      </w:pPr>
    </w:p>
    <w:p w14:paraId="07A90A05" w14:textId="77777777" w:rsidR="00194849" w:rsidRDefault="00194849">
      <w:pPr>
        <w:spacing w:line="560" w:lineRule="exact"/>
        <w:ind w:firstLineChars="200" w:firstLine="640"/>
        <w:rPr>
          <w:rFonts w:ascii="CESI仿宋-GB13000" w:eastAsia="CESI仿宋-GB13000" w:hAnsi="CESI仿宋-GB13000" w:cs="CESI仿宋-GB13000"/>
          <w:sz w:val="32"/>
          <w:szCs w:val="32"/>
        </w:rPr>
      </w:pPr>
    </w:p>
    <w:p w14:paraId="7AF22480" w14:textId="77777777" w:rsidR="00194849" w:rsidRDefault="00194849">
      <w:pPr>
        <w:spacing w:line="560" w:lineRule="exact"/>
        <w:ind w:firstLineChars="200" w:firstLine="640"/>
        <w:rPr>
          <w:rFonts w:ascii="CESI仿宋-GB13000" w:eastAsia="CESI仿宋-GB13000" w:hAnsi="CESI仿宋-GB13000" w:cs="CESI仿宋-GB13000"/>
          <w:sz w:val="32"/>
          <w:szCs w:val="32"/>
        </w:rPr>
      </w:pPr>
    </w:p>
    <w:p w14:paraId="366F35AA" w14:textId="77777777" w:rsidR="00194849" w:rsidRDefault="00194849">
      <w:pPr>
        <w:spacing w:line="560" w:lineRule="exact"/>
        <w:ind w:firstLineChars="200" w:firstLine="640"/>
        <w:rPr>
          <w:rFonts w:ascii="CESI仿宋-GB13000" w:eastAsia="CESI仿宋-GB13000" w:hAnsi="CESI仿宋-GB13000" w:cs="CESI仿宋-GB13000"/>
          <w:sz w:val="32"/>
          <w:szCs w:val="32"/>
        </w:rPr>
      </w:pPr>
    </w:p>
    <w:sectPr w:rsidR="00194849">
      <w:headerReference w:type="default" r:id="rId7"/>
      <w:footerReference w:type="default" r:id="rId8"/>
      <w:pgSz w:w="11906" w:h="16838"/>
      <w:pgMar w:top="1440" w:right="1800" w:bottom="1440" w:left="1800"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EBDC79" w14:textId="77777777" w:rsidR="00980D43" w:rsidRDefault="00980D43">
      <w:r>
        <w:separator/>
      </w:r>
    </w:p>
  </w:endnote>
  <w:endnote w:type="continuationSeparator" w:id="0">
    <w:p w14:paraId="135BB985" w14:textId="77777777" w:rsidR="00980D43" w:rsidRDefault="00980D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大标宋简体">
    <w:altName w:val="微软雅黑"/>
    <w:charset w:val="00"/>
    <w:family w:val="auto"/>
    <w:pitch w:val="default"/>
    <w:sig w:usb0="00000000" w:usb1="00000000" w:usb2="00000000" w:usb3="00000000" w:csb0="00040000" w:csb1="00000000"/>
  </w:font>
  <w:font w:name="sysfST">
    <w:altName w:val="微软雅黑"/>
    <w:charset w:val="00"/>
    <w:family w:val="auto"/>
    <w:pitch w:val="default"/>
    <w:sig w:usb0="00000000" w:usb1="00000000" w:usb2="00000000" w:usb3="00000000" w:csb0="00040001" w:csb1="00000000"/>
  </w:font>
  <w:font w:name="仿宋_GB2312">
    <w:altName w:val="微软雅黑"/>
    <w:charset w:val="00"/>
    <w:family w:val="auto"/>
    <w:pitch w:val="default"/>
    <w:sig w:usb0="00000000" w:usb1="00000000" w:usb2="00000000" w:usb3="00000000" w:csb0="00040000" w:csb1="00000000"/>
  </w:font>
  <w:font w:name="方正黑体_GBK">
    <w:altName w:val="微软雅黑"/>
    <w:charset w:val="86"/>
    <w:family w:val="auto"/>
    <w:pitch w:val="default"/>
    <w:sig w:usb0="00000001" w:usb1="08000000" w:usb2="00000000" w:usb3="00000000" w:csb0="00040000" w:csb1="00000000"/>
  </w:font>
  <w:font w:name="CESI仿宋-GB2312">
    <w:altName w:val="微软雅黑"/>
    <w:charset w:val="86"/>
    <w:family w:val="auto"/>
    <w:pitch w:val="default"/>
    <w:sig w:usb0="800002AF" w:usb1="084F6CF8" w:usb2="00000010" w:usb3="00000000" w:csb0="0004000F" w:csb1="00000000"/>
  </w:font>
  <w:font w:name="CESI仿宋-GB13000">
    <w:altName w:val="微软雅黑"/>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7CCE23" w14:textId="77777777" w:rsidR="00194849" w:rsidRDefault="00000000">
    <w:pPr>
      <w:pStyle w:val="a3"/>
    </w:pPr>
    <w:r>
      <w:rPr>
        <w:noProof/>
      </w:rPr>
      <mc:AlternateContent>
        <mc:Choice Requires="wps">
          <w:drawing>
            <wp:anchor distT="0" distB="0" distL="114300" distR="114300" simplePos="0" relativeHeight="251659264" behindDoc="0" locked="0" layoutInCell="1" allowOverlap="1" wp14:anchorId="7190582F" wp14:editId="4993FBB5">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2C39AD" w14:textId="77777777" w:rsidR="00194849"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190582F" id="_x0000_t202" coordsize="21600,21600" o:spt="202" path="m,l,21600r21600,l21600,xe">
              <v:stroke joinstyle="miter"/>
              <v:path gradientshapeok="t" o:connecttype="rect"/>
            </v:shapetype>
            <v:shape id="文本框 1"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" filled="f" stroked="f" strokeweight=".5pt">
              <v:textbox style="mso-fit-shape-to-text:t" inset="0,0,0,0">
                <w:txbxContent>
                  <w:p w14:paraId="4D2C39AD" w14:textId="77777777" w:rsidR="00194849" w:rsidRDefault="00000000">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0F9034" w14:textId="77777777" w:rsidR="00980D43" w:rsidRDefault="00980D43">
      <w:r>
        <w:separator/>
      </w:r>
    </w:p>
  </w:footnote>
  <w:footnote w:type="continuationSeparator" w:id="0">
    <w:p w14:paraId="12EF7493" w14:textId="77777777" w:rsidR="00980D43" w:rsidRDefault="00980D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3855E3" w14:textId="77777777" w:rsidR="00194849" w:rsidRDefault="0019484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CDFAF5B4"/>
    <w:rsid w:val="CDFAF5B4"/>
    <w:rsid w:val="0DEFB09E"/>
    <w:rsid w:val="171F6771"/>
    <w:rsid w:val="25ED5C0C"/>
    <w:rsid w:val="2AF4F5B0"/>
    <w:rsid w:val="2CBF98A1"/>
    <w:rsid w:val="2EBF36B2"/>
    <w:rsid w:val="2FB7720B"/>
    <w:rsid w:val="351E34E4"/>
    <w:rsid w:val="355FF2F3"/>
    <w:rsid w:val="37FE54D4"/>
    <w:rsid w:val="37FFA508"/>
    <w:rsid w:val="3BF93528"/>
    <w:rsid w:val="3DFF2E83"/>
    <w:rsid w:val="3F5E63A9"/>
    <w:rsid w:val="46FB3128"/>
    <w:rsid w:val="4DFCCF35"/>
    <w:rsid w:val="4F67EC1C"/>
    <w:rsid w:val="53F9EC31"/>
    <w:rsid w:val="53FF4AD4"/>
    <w:rsid w:val="577F03F8"/>
    <w:rsid w:val="5B3A80D2"/>
    <w:rsid w:val="5CFD5408"/>
    <w:rsid w:val="5EF7CBD7"/>
    <w:rsid w:val="5EFF8778"/>
    <w:rsid w:val="5FBAC526"/>
    <w:rsid w:val="5FD3AB61"/>
    <w:rsid w:val="5FDC53C6"/>
    <w:rsid w:val="5FDFCA51"/>
    <w:rsid w:val="5FFED4F7"/>
    <w:rsid w:val="65FD047C"/>
    <w:rsid w:val="67FDA652"/>
    <w:rsid w:val="687F6037"/>
    <w:rsid w:val="699B6F97"/>
    <w:rsid w:val="6BE93B6A"/>
    <w:rsid w:val="6CFFD41B"/>
    <w:rsid w:val="6D7F7769"/>
    <w:rsid w:val="6D7FFA4E"/>
    <w:rsid w:val="6E7B572D"/>
    <w:rsid w:val="6F3CEBE0"/>
    <w:rsid w:val="6F63236F"/>
    <w:rsid w:val="6FB7BF97"/>
    <w:rsid w:val="6FBFA923"/>
    <w:rsid w:val="6FEC159A"/>
    <w:rsid w:val="6FFD88D1"/>
    <w:rsid w:val="71EFC2FB"/>
    <w:rsid w:val="73BE761E"/>
    <w:rsid w:val="73FEEA08"/>
    <w:rsid w:val="73FF2041"/>
    <w:rsid w:val="73FF3BBD"/>
    <w:rsid w:val="745FCC1D"/>
    <w:rsid w:val="76F3E6A9"/>
    <w:rsid w:val="7707987A"/>
    <w:rsid w:val="774E9DBA"/>
    <w:rsid w:val="7756AE3B"/>
    <w:rsid w:val="77FF032B"/>
    <w:rsid w:val="77FF0AD3"/>
    <w:rsid w:val="77FF3978"/>
    <w:rsid w:val="78DFC3FA"/>
    <w:rsid w:val="79BF3A2D"/>
    <w:rsid w:val="79FF9C64"/>
    <w:rsid w:val="7AFDCF84"/>
    <w:rsid w:val="7B779CEC"/>
    <w:rsid w:val="7BB4D7E1"/>
    <w:rsid w:val="7BB6B808"/>
    <w:rsid w:val="7BBF8C02"/>
    <w:rsid w:val="7BD3A58F"/>
    <w:rsid w:val="7BF6AE2F"/>
    <w:rsid w:val="7BF6E55C"/>
    <w:rsid w:val="7BFBBAFC"/>
    <w:rsid w:val="7BFF2CFD"/>
    <w:rsid w:val="7CBC4E39"/>
    <w:rsid w:val="7CBF9F3A"/>
    <w:rsid w:val="7CF9FD3E"/>
    <w:rsid w:val="7D7FE6EC"/>
    <w:rsid w:val="7DEE8249"/>
    <w:rsid w:val="7DFE8840"/>
    <w:rsid w:val="7EB8C5C1"/>
    <w:rsid w:val="7EEF45C6"/>
    <w:rsid w:val="7F3948BB"/>
    <w:rsid w:val="7F799961"/>
    <w:rsid w:val="7F9E9825"/>
    <w:rsid w:val="7FAD2AF3"/>
    <w:rsid w:val="7FCBA352"/>
    <w:rsid w:val="7FD5D345"/>
    <w:rsid w:val="7FF7769A"/>
    <w:rsid w:val="7FF7DCF2"/>
    <w:rsid w:val="7FF89EF2"/>
    <w:rsid w:val="7FFFC4C4"/>
    <w:rsid w:val="7FFFCE12"/>
    <w:rsid w:val="97FAADA5"/>
    <w:rsid w:val="9B339AF2"/>
    <w:rsid w:val="9DFD1896"/>
    <w:rsid w:val="9EFF6EE9"/>
    <w:rsid w:val="9FA346E3"/>
    <w:rsid w:val="9FDED63D"/>
    <w:rsid w:val="A7636F25"/>
    <w:rsid w:val="A7667E3B"/>
    <w:rsid w:val="ABE5C066"/>
    <w:rsid w:val="AE7A6A90"/>
    <w:rsid w:val="AF8F56D0"/>
    <w:rsid w:val="B22742D2"/>
    <w:rsid w:val="B379C565"/>
    <w:rsid w:val="B3EECBF7"/>
    <w:rsid w:val="B3EF337F"/>
    <w:rsid w:val="B4FBEE68"/>
    <w:rsid w:val="B6F5EA92"/>
    <w:rsid w:val="B7BF8DEC"/>
    <w:rsid w:val="B8F7BDA9"/>
    <w:rsid w:val="BB1E9A4F"/>
    <w:rsid w:val="BBD1D2C6"/>
    <w:rsid w:val="BBD6E32F"/>
    <w:rsid w:val="BBEE818F"/>
    <w:rsid w:val="BDADC548"/>
    <w:rsid w:val="BEC57CB7"/>
    <w:rsid w:val="BEDF4EA3"/>
    <w:rsid w:val="BEF31206"/>
    <w:rsid w:val="BEFB11D2"/>
    <w:rsid w:val="BF5F1AE9"/>
    <w:rsid w:val="BFA631D0"/>
    <w:rsid w:val="BFB7EF86"/>
    <w:rsid w:val="BFBF625C"/>
    <w:rsid w:val="BFDBFE4C"/>
    <w:rsid w:val="BFEF7422"/>
    <w:rsid w:val="CDB6DE81"/>
    <w:rsid w:val="CDFAF5B4"/>
    <w:rsid w:val="CFBE415F"/>
    <w:rsid w:val="D47E7E86"/>
    <w:rsid w:val="D637E125"/>
    <w:rsid w:val="DA477FC9"/>
    <w:rsid w:val="DA7D2610"/>
    <w:rsid w:val="DB3B6D81"/>
    <w:rsid w:val="DCFC869C"/>
    <w:rsid w:val="DDE7B892"/>
    <w:rsid w:val="DDFE5719"/>
    <w:rsid w:val="DEEE49F4"/>
    <w:rsid w:val="DFBA9CF4"/>
    <w:rsid w:val="DFD9E41F"/>
    <w:rsid w:val="DFE5A22D"/>
    <w:rsid w:val="DFEF17C0"/>
    <w:rsid w:val="DFF77525"/>
    <w:rsid w:val="E7451F00"/>
    <w:rsid w:val="E77FB003"/>
    <w:rsid w:val="E7E4AAA3"/>
    <w:rsid w:val="E7FFEB4F"/>
    <w:rsid w:val="EA5F50A9"/>
    <w:rsid w:val="EAFD4E19"/>
    <w:rsid w:val="EBDF893F"/>
    <w:rsid w:val="EDE77F53"/>
    <w:rsid w:val="EDF5B704"/>
    <w:rsid w:val="EE5B869C"/>
    <w:rsid w:val="EEDFA629"/>
    <w:rsid w:val="EEFBB1C8"/>
    <w:rsid w:val="EFAD22A7"/>
    <w:rsid w:val="EFBFA6BD"/>
    <w:rsid w:val="EFFCA10E"/>
    <w:rsid w:val="F3FBBB12"/>
    <w:rsid w:val="F3FF76A6"/>
    <w:rsid w:val="F66FFFBE"/>
    <w:rsid w:val="F67F1AA1"/>
    <w:rsid w:val="F6FF736B"/>
    <w:rsid w:val="F6FF8ABB"/>
    <w:rsid w:val="F7DE2618"/>
    <w:rsid w:val="F99E6094"/>
    <w:rsid w:val="F9EF4047"/>
    <w:rsid w:val="FB7D38C0"/>
    <w:rsid w:val="FBB35640"/>
    <w:rsid w:val="FBEADAD9"/>
    <w:rsid w:val="FBFDA5AC"/>
    <w:rsid w:val="FC7B643D"/>
    <w:rsid w:val="FDBFF543"/>
    <w:rsid w:val="FDDFFD9A"/>
    <w:rsid w:val="FE398695"/>
    <w:rsid w:val="FE572BBB"/>
    <w:rsid w:val="FE7F3A36"/>
    <w:rsid w:val="FEDF5629"/>
    <w:rsid w:val="FEF445FD"/>
    <w:rsid w:val="FEF7DC0E"/>
    <w:rsid w:val="FEFF005D"/>
    <w:rsid w:val="FEFF6E20"/>
    <w:rsid w:val="FFB9E6AD"/>
    <w:rsid w:val="FFEA5764"/>
    <w:rsid w:val="FFF5A8EC"/>
    <w:rsid w:val="FFFDC110"/>
    <w:rsid w:val="FFFF2027"/>
    <w:rsid w:val="FFFFD8EB"/>
    <w:rsid w:val="00194849"/>
    <w:rsid w:val="00980D43"/>
    <w:rsid w:val="00F108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BF66AEC"/>
  <w15:docId w15:val="{D064D21C-C5FE-48C5-B121-F89E5F3C7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suppressAutoHyphens/>
      <w:jc w:val="both"/>
    </w:pPr>
    <w:rPr>
      <w:rFonts w:ascii="Calibri" w:hAnsi="Calibr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jc w:val="left"/>
    </w:pPr>
    <w:rPr>
      <w:sz w:val="18"/>
      <w:szCs w:val="18"/>
    </w:rPr>
  </w:style>
  <w:style w:type="paragraph" w:styleId="a4">
    <w:name w:val="header"/>
    <w:basedOn w:val="a"/>
    <w:qFormat/>
    <w:pPr>
      <w:tabs>
        <w:tab w:val="center" w:pos="4153"/>
        <w:tab w:val="right" w:pos="8306"/>
      </w:tabs>
      <w:snapToGrid w:val="0"/>
      <w:jc w:val="center"/>
    </w:pPr>
    <w:rPr>
      <w:sz w:val="18"/>
      <w:szCs w:val="18"/>
    </w:rPr>
  </w:style>
  <w:style w:type="paragraph" w:styleId="a5">
    <w:name w:val="Normal (Web)"/>
    <w:basedOn w:val="a"/>
    <w:qFormat/>
    <w:pPr>
      <w:spacing w:before="100" w:beforeAutospacing="1" w:after="100" w:afterAutospacing="1"/>
      <w:jc w:val="left"/>
    </w:pPr>
    <w:rPr>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4</Pages>
  <Words>271</Words>
  <Characters>1550</Characters>
  <Application>Microsoft Office Word</Application>
  <DocSecurity>0</DocSecurity>
  <Lines>12</Lines>
  <Paragraphs>3</Paragraphs>
  <ScaleCrop>false</ScaleCrop>
  <Company/>
  <LinksUpToDate>false</LinksUpToDate>
  <CharactersWithSpaces>1818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csrc</dc:creator>
  <cp:lastModifiedBy>淑瑶 刘</cp:lastModifiedBy>
  <cp:revision>2</cp:revision>
  <dcterms:created xsi:type="dcterms:W3CDTF">2023-10-19T17:34:00Z</dcterms:created>
  <dcterms:modified xsi:type="dcterms:W3CDTF">2024-03-15T07:56:00Z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2052-11.8.2.11764</vt:lpwstr>
  </property>
  <property fmtid="{D5CDD505-2E9C-101B-9397-08002B2CF9AE}" pid="3" name="ICV">
    <vt:lpwstr>6E50D6BC1684E1C319E41065FCFC32D4</vt:lpwstr>
  </property>
</Properties>
</file>