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9DE4F" w14:textId="77777777" w:rsidR="00000000"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6F92544A" w14:textId="77777777" w:rsidR="00000000"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bCs/>
          <w:sz w:val="32"/>
          <w:szCs w:val="32"/>
        </w:rPr>
        <w:t>2024</w:t>
      </w:r>
      <w:r>
        <w:rPr>
          <w:rFonts w:ascii="Times New Roman" w:eastAsia="方正大标宋简体" w:hAnsi="Times New Roman"/>
          <w:bCs/>
          <w:sz w:val="32"/>
          <w:szCs w:val="32"/>
        </w:rPr>
        <w:t>年</w:t>
      </w:r>
      <w:r>
        <w:rPr>
          <w:rFonts w:ascii="Times New Roman" w:eastAsia="方正大标宋简体" w:hAnsi="Times New Roman" w:hint="eastAsia"/>
          <w:bCs/>
          <w:sz w:val="32"/>
          <w:szCs w:val="32"/>
        </w:rPr>
        <w:t>6</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21</w:t>
      </w:r>
      <w:r>
        <w:rPr>
          <w:rFonts w:ascii="Times New Roman" w:eastAsia="方正大标宋简体" w:hAnsi="Times New Roman"/>
          <w:bCs/>
          <w:sz w:val="32"/>
          <w:szCs w:val="32"/>
        </w:rPr>
        <w:t>日</w:t>
      </w:r>
      <w:r>
        <w:rPr>
          <w:rFonts w:ascii="Times New Roman" w:eastAsia="方正大标宋简体" w:hAnsi="Times New Roman"/>
          <w:bCs/>
          <w:sz w:val="32"/>
          <w:szCs w:val="32"/>
        </w:rPr>
        <w:t>—2024</w:t>
      </w:r>
      <w:r>
        <w:rPr>
          <w:rFonts w:ascii="Times New Roman" w:eastAsia="方正大标宋简体" w:hAnsi="Times New Roman"/>
          <w:bCs/>
          <w:sz w:val="32"/>
          <w:szCs w:val="32"/>
        </w:rPr>
        <w:t>年</w:t>
      </w:r>
      <w:r>
        <w:rPr>
          <w:rFonts w:ascii="Times New Roman" w:eastAsia="方正大标宋简体" w:hAnsi="Times New Roman"/>
          <w:bCs/>
          <w:sz w:val="32"/>
          <w:szCs w:val="32"/>
        </w:rPr>
        <w:t>6</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27</w:t>
      </w:r>
      <w:r>
        <w:rPr>
          <w:rFonts w:ascii="Times New Roman" w:eastAsia="方正大标宋简体" w:hAnsi="Times New Roman"/>
          <w:bCs/>
          <w:sz w:val="32"/>
          <w:szCs w:val="32"/>
        </w:rPr>
        <w:t>日）</w:t>
      </w:r>
    </w:p>
    <w:p w14:paraId="5BB881AF" w14:textId="77777777" w:rsidR="00000000" w:rsidRDefault="00000000">
      <w:pPr>
        <w:spacing w:line="560" w:lineRule="exact"/>
        <w:ind w:firstLineChars="200" w:firstLine="560"/>
        <w:jc w:val="center"/>
        <w:rPr>
          <w:rFonts w:ascii="Times New Roman" w:eastAsia="sysfST" w:hAnsi="Times New Roman"/>
          <w:b/>
          <w:sz w:val="28"/>
          <w:szCs w:val="28"/>
        </w:rPr>
      </w:pPr>
    </w:p>
    <w:p w14:paraId="5053F881" w14:textId="23DD88B2" w:rsidR="00000000"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w:t>
      </w:r>
      <w:r>
        <w:rPr>
          <w:rFonts w:ascii="Times New Roman" w:eastAsia="仿宋_GB2312" w:hAnsi="Times New Roman" w:hint="eastAsia"/>
          <w:sz w:val="32"/>
          <w:szCs w:val="32"/>
        </w:rPr>
        <w:t>司</w:t>
      </w:r>
      <w:r>
        <w:rPr>
          <w:rFonts w:ascii="Times New Roman" w:eastAsia="仿宋_GB2312" w:hAnsi="Times New Roman"/>
          <w:sz w:val="32"/>
          <w:szCs w:val="32"/>
        </w:rPr>
        <w:t>共对</w:t>
      </w:r>
      <w:r w:rsidR="0085519B">
        <w:rPr>
          <w:rFonts w:ascii="Times New Roman" w:eastAsia="仿宋_GB2312" w:hAnsi="Times New Roman" w:hint="eastAsia"/>
          <w:sz w:val="32"/>
          <w:szCs w:val="32"/>
        </w:rPr>
        <w:t>2</w:t>
      </w:r>
      <w:r>
        <w:rPr>
          <w:rFonts w:ascii="Times New Roman" w:eastAsia="仿宋_GB2312" w:hAnsi="Times New Roman" w:hint="eastAsia"/>
          <w:sz w:val="32"/>
          <w:szCs w:val="32"/>
        </w:rPr>
        <w:t>家</w:t>
      </w:r>
      <w:r>
        <w:rPr>
          <w:rFonts w:ascii="Times New Roman" w:eastAsia="仿宋_GB2312" w:hAnsi="Times New Roman"/>
          <w:sz w:val="32"/>
          <w:szCs w:val="32"/>
        </w:rPr>
        <w:t>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40715636"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rPr>
        <w:t>海伦司（已出具备案通知书）</w:t>
      </w:r>
    </w:p>
    <w:p w14:paraId="57053E4A"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7F339391"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一、关于股权架构搭建及返程并购的合规性，请说明：（</w:t>
      </w:r>
      <w:r>
        <w:rPr>
          <w:rFonts w:ascii="Times New Roman" w:eastAsia="CESI仿宋-GB2312" w:hAnsi="Times New Roman"/>
          <w:sz w:val="32"/>
          <w:szCs w:val="32"/>
        </w:rPr>
        <w:t>1</w:t>
      </w:r>
      <w:r>
        <w:rPr>
          <w:rFonts w:ascii="Times New Roman" w:eastAsia="CESI仿宋-GB2312" w:hAnsi="Times New Roman"/>
          <w:sz w:val="32"/>
          <w:szCs w:val="32"/>
        </w:rPr>
        <w:t>）</w:t>
      </w:r>
      <w:r>
        <w:rPr>
          <w:rFonts w:ascii="Times New Roman" w:eastAsia="CESI仿宋-GB2312" w:hAnsi="Times New Roman"/>
          <w:sz w:val="32"/>
          <w:szCs w:val="32"/>
        </w:rPr>
        <w:t>2018</w:t>
      </w:r>
      <w:r>
        <w:rPr>
          <w:rFonts w:ascii="Times New Roman" w:eastAsia="CESI仿宋-GB2312" w:hAnsi="Times New Roman"/>
          <w:sz w:val="32"/>
          <w:szCs w:val="32"/>
        </w:rPr>
        <w:t>年至</w:t>
      </w:r>
      <w:r>
        <w:rPr>
          <w:rFonts w:ascii="Times New Roman" w:eastAsia="CESI仿宋-GB2312" w:hAnsi="Times New Roman"/>
          <w:sz w:val="32"/>
          <w:szCs w:val="32"/>
        </w:rPr>
        <w:t>2019</w:t>
      </w:r>
      <w:r>
        <w:rPr>
          <w:rFonts w:ascii="Times New Roman" w:eastAsia="CESI仿宋-GB2312" w:hAnsi="Times New Roman"/>
          <w:sz w:val="32"/>
          <w:szCs w:val="32"/>
        </w:rPr>
        <w:t>年，深圳海伦司企业管理有限公司（下称</w:t>
      </w:r>
      <w:r>
        <w:rPr>
          <w:rFonts w:ascii="Times New Roman" w:eastAsia="CESI仿宋-GB2312" w:hAnsi="Times New Roman" w:hint="eastAsia"/>
          <w:sz w:val="32"/>
          <w:szCs w:val="32"/>
        </w:rPr>
        <w:t>“</w:t>
      </w:r>
      <w:r>
        <w:rPr>
          <w:rFonts w:ascii="Times New Roman" w:eastAsia="CESI仿宋-GB2312" w:hAnsi="Times New Roman"/>
          <w:sz w:val="32"/>
          <w:szCs w:val="32"/>
        </w:rPr>
        <w:t>深圳海伦司</w:t>
      </w:r>
      <w:r>
        <w:rPr>
          <w:rFonts w:ascii="Times New Roman" w:eastAsia="CESI仿宋-GB2312" w:hAnsi="Times New Roman" w:hint="eastAsia"/>
          <w:sz w:val="32"/>
          <w:szCs w:val="32"/>
        </w:rPr>
        <w:t>”</w:t>
      </w:r>
      <w:r>
        <w:rPr>
          <w:rFonts w:ascii="Times New Roman" w:eastAsia="CESI仿宋-GB2312" w:hAnsi="Times New Roman"/>
          <w:sz w:val="32"/>
          <w:szCs w:val="32"/>
        </w:rPr>
        <w:t>）收购江西苏勒伊格餐饮管理有限公司、福州支应居餐饮管理有限责任公司、武汉市奥尔德桑餐饮服务有限公司、天津澌诺德餐饮管理有限公司的全部股权是否符合《关于外国投资者并购境内企业的规定》，以及上述股权转让的税费缴纳情况；（</w:t>
      </w:r>
      <w:r>
        <w:rPr>
          <w:rFonts w:ascii="Times New Roman" w:eastAsia="CESI仿宋-GB2312" w:hAnsi="Times New Roman"/>
          <w:sz w:val="32"/>
          <w:szCs w:val="32"/>
        </w:rPr>
        <w:t>2</w:t>
      </w:r>
      <w:r>
        <w:rPr>
          <w:rFonts w:ascii="Times New Roman" w:eastAsia="CESI仿宋-GB2312" w:hAnsi="Times New Roman"/>
          <w:sz w:val="32"/>
          <w:szCs w:val="32"/>
        </w:rPr>
        <w:t>）深圳海伦司是否办理境内直接投资外汇登记手续；（</w:t>
      </w:r>
      <w:r>
        <w:rPr>
          <w:rFonts w:ascii="Times New Roman" w:eastAsia="CESI仿宋-GB2312" w:hAnsi="Times New Roman"/>
          <w:sz w:val="32"/>
          <w:szCs w:val="32"/>
        </w:rPr>
        <w:t>3</w:t>
      </w:r>
      <w:r>
        <w:rPr>
          <w:rFonts w:ascii="Times New Roman" w:eastAsia="CESI仿宋-GB2312" w:hAnsi="Times New Roman"/>
          <w:sz w:val="32"/>
          <w:szCs w:val="32"/>
        </w:rPr>
        <w:t>）境外搭建离岸架构和返程投资涉及的外汇登记、境外投资、外商投资、税费缴纳等监管程序方面合法合规的结论性意见。</w:t>
      </w:r>
    </w:p>
    <w:p w14:paraId="78B11716"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二、关于主要股东情况，请说明：（</w:t>
      </w:r>
      <w:r>
        <w:rPr>
          <w:rFonts w:ascii="Times New Roman" w:eastAsia="CESI仿宋-GB2312" w:hAnsi="Times New Roman"/>
          <w:sz w:val="32"/>
          <w:szCs w:val="32"/>
        </w:rPr>
        <w:t>1</w:t>
      </w:r>
      <w:r>
        <w:rPr>
          <w:rFonts w:ascii="Times New Roman" w:eastAsia="CESI仿宋-GB2312" w:hAnsi="Times New Roman"/>
          <w:sz w:val="32"/>
          <w:szCs w:val="32"/>
        </w:rPr>
        <w:t>）控股股东</w:t>
      </w:r>
      <w:r>
        <w:rPr>
          <w:rFonts w:ascii="Times New Roman" w:eastAsia="CESI仿宋-GB2312" w:hAnsi="Times New Roman"/>
          <w:sz w:val="32"/>
          <w:szCs w:val="32"/>
        </w:rPr>
        <w:t>HHL International Limited</w:t>
      </w:r>
      <w:r>
        <w:rPr>
          <w:rFonts w:ascii="Times New Roman" w:eastAsia="CESI仿宋-GB2312" w:hAnsi="Times New Roman"/>
          <w:sz w:val="32"/>
          <w:szCs w:val="32"/>
        </w:rPr>
        <w:t>向上穿透后存在信托，请根据《监管规则适用指引一一境外发行上市类第</w:t>
      </w:r>
      <w:r>
        <w:rPr>
          <w:rFonts w:ascii="Times New Roman" w:eastAsia="CESI仿宋-GB2312" w:hAnsi="Times New Roman"/>
          <w:sz w:val="32"/>
          <w:szCs w:val="32"/>
        </w:rPr>
        <w:t>2</w:t>
      </w:r>
      <w:r>
        <w:rPr>
          <w:rFonts w:ascii="Times New Roman" w:eastAsia="CESI仿宋-GB2312" w:hAnsi="Times New Roman"/>
          <w:sz w:val="32"/>
          <w:szCs w:val="32"/>
        </w:rPr>
        <w:t>号：备案材料内容和格式指引》（下称《</w:t>
      </w:r>
      <w:r>
        <w:rPr>
          <w:rFonts w:ascii="Times New Roman" w:eastAsia="CESI仿宋-GB2312" w:hAnsi="Times New Roman"/>
          <w:sz w:val="32"/>
          <w:szCs w:val="32"/>
        </w:rPr>
        <w:t>2</w:t>
      </w:r>
      <w:r>
        <w:rPr>
          <w:rFonts w:ascii="Times New Roman" w:eastAsia="CESI仿宋-GB2312" w:hAnsi="Times New Roman"/>
          <w:sz w:val="32"/>
          <w:szCs w:val="32"/>
        </w:rPr>
        <w:t>号指引》）说明该信托的基本情况；（</w:t>
      </w:r>
      <w:r>
        <w:rPr>
          <w:rFonts w:ascii="Times New Roman" w:eastAsia="CESI仿宋-GB2312" w:hAnsi="Times New Roman"/>
          <w:sz w:val="32"/>
          <w:szCs w:val="32"/>
        </w:rPr>
        <w:t>2</w:t>
      </w:r>
      <w:r>
        <w:rPr>
          <w:rFonts w:ascii="Times New Roman" w:eastAsia="CESI仿宋-GB2312" w:hAnsi="Times New Roman"/>
          <w:sz w:val="32"/>
          <w:szCs w:val="32"/>
        </w:rPr>
        <w:t>）请根据《</w:t>
      </w:r>
      <w:r>
        <w:rPr>
          <w:rFonts w:ascii="Times New Roman" w:eastAsia="CESI仿宋-GB2312" w:hAnsi="Times New Roman"/>
          <w:sz w:val="32"/>
          <w:szCs w:val="32"/>
        </w:rPr>
        <w:t>2</w:t>
      </w:r>
      <w:r>
        <w:rPr>
          <w:rFonts w:ascii="Times New Roman" w:eastAsia="CESI仿宋-GB2312" w:hAnsi="Times New Roman"/>
          <w:sz w:val="32"/>
          <w:szCs w:val="32"/>
        </w:rPr>
        <w:t>号指引》要求说明包括公众股东在内的持有发行人</w:t>
      </w:r>
      <w:r>
        <w:rPr>
          <w:rFonts w:ascii="Times New Roman" w:eastAsia="CESI仿宋-GB2312" w:hAnsi="Times New Roman"/>
          <w:sz w:val="32"/>
          <w:szCs w:val="32"/>
        </w:rPr>
        <w:t>5%</w:t>
      </w:r>
      <w:r>
        <w:rPr>
          <w:rFonts w:ascii="Times New Roman" w:eastAsia="CESI仿宋-GB2312" w:hAnsi="Times New Roman"/>
          <w:sz w:val="32"/>
          <w:szCs w:val="32"/>
        </w:rPr>
        <w:t>以上股份或表决权股东的基本情况。</w:t>
      </w:r>
    </w:p>
    <w:p w14:paraId="3CCF991C"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三、关于股权激励计划情况，请说明：（</w:t>
      </w:r>
      <w:r>
        <w:rPr>
          <w:rFonts w:ascii="Times New Roman" w:eastAsia="CESI仿宋-GB2312" w:hAnsi="Times New Roman"/>
          <w:sz w:val="32"/>
          <w:szCs w:val="32"/>
        </w:rPr>
        <w:t>1</w:t>
      </w:r>
      <w:r>
        <w:rPr>
          <w:rFonts w:ascii="Times New Roman" w:eastAsia="CESI仿宋-GB2312" w:hAnsi="Times New Roman"/>
          <w:sz w:val="32"/>
          <w:szCs w:val="32"/>
        </w:rPr>
        <w:t>）股权激励</w:t>
      </w:r>
      <w:r>
        <w:rPr>
          <w:rFonts w:ascii="Times New Roman" w:eastAsia="CESI仿宋-GB2312" w:hAnsi="Times New Roman"/>
          <w:sz w:val="32"/>
          <w:szCs w:val="32"/>
        </w:rPr>
        <w:lastRenderedPageBreak/>
        <w:t>计划授予对象的基本情况，如有离职人员、外部人员、顾问等，请按照《</w:t>
      </w:r>
      <w:r>
        <w:rPr>
          <w:rFonts w:ascii="Times New Roman" w:eastAsia="CESI仿宋-GB2312" w:hAnsi="Times New Roman"/>
          <w:sz w:val="32"/>
          <w:szCs w:val="32"/>
        </w:rPr>
        <w:t>2</w:t>
      </w:r>
      <w:r>
        <w:rPr>
          <w:rFonts w:ascii="Times New Roman" w:eastAsia="CESI仿宋-GB2312" w:hAnsi="Times New Roman"/>
          <w:sz w:val="32"/>
          <w:szCs w:val="32"/>
        </w:rPr>
        <w:t>号指引》进行核查说明；（</w:t>
      </w:r>
      <w:r>
        <w:rPr>
          <w:rFonts w:ascii="Times New Roman" w:eastAsia="CESI仿宋-GB2312" w:hAnsi="Times New Roman"/>
          <w:sz w:val="32"/>
          <w:szCs w:val="32"/>
        </w:rPr>
        <w:t>2</w:t>
      </w:r>
      <w:r>
        <w:rPr>
          <w:rFonts w:ascii="Times New Roman" w:eastAsia="CESI仿宋-GB2312" w:hAnsi="Times New Roman"/>
          <w:sz w:val="32"/>
          <w:szCs w:val="32"/>
        </w:rPr>
        <w:t>）贺大庆从黄石市委宣传部离职后随即在你公司及境内运营实体担任总监、监事、独董等职务，并且通过股权激励计划间接持有你公司股份，请说明是否存在法律法规禁止持股的主体、是否存在利益输送等情况；（</w:t>
      </w:r>
      <w:r>
        <w:rPr>
          <w:rFonts w:ascii="Times New Roman" w:eastAsia="CESI仿宋-GB2312" w:hAnsi="Times New Roman"/>
          <w:sz w:val="32"/>
          <w:szCs w:val="32"/>
        </w:rPr>
        <w:t>3</w:t>
      </w:r>
      <w:r>
        <w:rPr>
          <w:rFonts w:ascii="Times New Roman" w:eastAsia="CESI仿宋-GB2312" w:hAnsi="Times New Roman"/>
          <w:sz w:val="32"/>
          <w:szCs w:val="32"/>
        </w:rPr>
        <w:t>）股权激励计划是否合法合规、是否存在利益输送的结论性意见。</w:t>
      </w:r>
    </w:p>
    <w:p w14:paraId="0331933A"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四、关于境内运营实体情况，请说明：（</w:t>
      </w:r>
      <w:r>
        <w:rPr>
          <w:rFonts w:ascii="Times New Roman" w:eastAsia="CESI仿宋-GB2312" w:hAnsi="Times New Roman"/>
          <w:sz w:val="32"/>
          <w:szCs w:val="32"/>
        </w:rPr>
        <w:t>1</w:t>
      </w:r>
      <w:r>
        <w:rPr>
          <w:rFonts w:ascii="Times New Roman" w:eastAsia="CESI仿宋-GB2312" w:hAnsi="Times New Roman"/>
          <w:sz w:val="32"/>
          <w:szCs w:val="32"/>
        </w:rPr>
        <w:t>）境内运营实体均未签署任何重大合同的具体依据及理由，除银行债权债务外是否还存在其他重大债权债务；（</w:t>
      </w:r>
      <w:r>
        <w:rPr>
          <w:rFonts w:ascii="Times New Roman" w:eastAsia="CESI仿宋-GB2312" w:hAnsi="Times New Roman"/>
          <w:sz w:val="32"/>
          <w:szCs w:val="32"/>
        </w:rPr>
        <w:t>2</w:t>
      </w:r>
      <w:r>
        <w:rPr>
          <w:rFonts w:ascii="Times New Roman" w:eastAsia="CESI仿宋-GB2312" w:hAnsi="Times New Roman"/>
          <w:sz w:val="32"/>
          <w:szCs w:val="32"/>
        </w:rPr>
        <w:t>）请说明报告期内境内运营实体在税务、环境保护方面是否存在合规问题，以及是否因此被主管部门行政处罚；（</w:t>
      </w:r>
      <w:r>
        <w:rPr>
          <w:rFonts w:ascii="Times New Roman" w:eastAsia="CESI仿宋-GB2312" w:hAnsi="Times New Roman"/>
          <w:sz w:val="32"/>
          <w:szCs w:val="32"/>
        </w:rPr>
        <w:t>3</w:t>
      </w:r>
      <w:r>
        <w:rPr>
          <w:rFonts w:ascii="Times New Roman" w:eastAsia="CESI仿宋-GB2312" w:hAnsi="Times New Roman"/>
          <w:sz w:val="32"/>
          <w:szCs w:val="32"/>
        </w:rPr>
        <w:t>）主要境内运营实体设立及历次股权变动均合法合规的结论性意见。</w:t>
      </w:r>
    </w:p>
    <w:p w14:paraId="7731AFE2" w14:textId="72274781" w:rsidR="0085519B" w:rsidRDefault="0085519B" w:rsidP="0085519B">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rPr>
        <w:t>参花实业</w:t>
      </w:r>
    </w:p>
    <w:p w14:paraId="483573A0" w14:textId="77777777" w:rsidR="0085519B" w:rsidRDefault="0085519B" w:rsidP="0085519B">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5A3DAA10" w14:textId="77777777" w:rsidR="001D0AFE" w:rsidRDefault="001D0AFE" w:rsidP="001D0AFE">
      <w:pPr>
        <w:spacing w:line="560" w:lineRule="exact"/>
        <w:ind w:firstLineChars="200" w:firstLine="640"/>
        <w:rPr>
          <w:rFonts w:ascii="CESI仿宋-GB2312" w:eastAsia="CESI仿宋-GB2312" w:hAnsi="CESI仿宋-GB2312" w:cs="CESI仿宋-GB2312"/>
          <w:sz w:val="32"/>
          <w:szCs w:val="32"/>
        </w:rPr>
      </w:pPr>
      <w:r>
        <w:rPr>
          <w:rFonts w:ascii="CESI仿宋-GB2312" w:eastAsia="CESI仿宋-GB2312" w:hAnsi="CESI仿宋-GB2312" w:cs="CESI仿宋-GB2312" w:hint="eastAsia"/>
          <w:sz w:val="32"/>
          <w:szCs w:val="32"/>
        </w:rPr>
        <w:t>一、关于股权架构。（1）2020 年4月，参花面粉股权转让的定价依据、价格转让及税费缴纳情况；（2）国富（香港）控股有限公司小比例持有发行人股份的原因、合理性及定价依据;（3）境外搭建离岸架构和返程投资涉及的外汇登记、境外投资、外商投资、税费缴纳等监管程序合法合规的结论性意见。</w:t>
      </w:r>
    </w:p>
    <w:p w14:paraId="0AB20540" w14:textId="56487968" w:rsidR="001D0AFE" w:rsidRDefault="001D0AFE" w:rsidP="001D0AFE">
      <w:pPr>
        <w:spacing w:line="560" w:lineRule="exact"/>
        <w:ind w:firstLineChars="200" w:firstLine="640"/>
        <w:rPr>
          <w:rFonts w:ascii="CESI仿宋-GB2312" w:eastAsia="CESI仿宋-GB2312" w:hAnsi="CESI仿宋-GB2312" w:cs="CESI仿宋-GB2312" w:hint="eastAsia"/>
          <w:sz w:val="32"/>
          <w:szCs w:val="32"/>
        </w:rPr>
      </w:pPr>
      <w:r>
        <w:rPr>
          <w:rFonts w:ascii="CESI仿宋-GB2312" w:eastAsia="CESI仿宋-GB2312" w:hAnsi="CESI仿宋-GB2312" w:cs="CESI仿宋-GB2312" w:hint="eastAsia"/>
          <w:sz w:val="32"/>
          <w:szCs w:val="32"/>
        </w:rPr>
        <w:t>二</w:t>
      </w:r>
      <w:r>
        <w:rPr>
          <w:rFonts w:ascii="CESI仿宋-GB2312" w:eastAsia="CESI仿宋-GB2312" w:hAnsi="CESI仿宋-GB2312" w:cs="CESI仿宋-GB2312" w:hint="eastAsia"/>
          <w:sz w:val="32"/>
          <w:szCs w:val="32"/>
        </w:rPr>
        <w:t>、关于合规经营。与廊坊一饺食品有限公司等关联方之间关联交易定价的公允性，与关联方在业务、人员、资产、</w:t>
      </w:r>
    </w:p>
    <w:p w14:paraId="6A802F21" w14:textId="77777777" w:rsidR="001D0AFE" w:rsidRDefault="001D0AFE" w:rsidP="001D0AFE">
      <w:pPr>
        <w:spacing w:line="560" w:lineRule="exact"/>
        <w:rPr>
          <w:rFonts w:ascii="CESI仿宋-GB2312" w:eastAsia="CESI仿宋-GB2312" w:hAnsi="CESI仿宋-GB2312" w:cs="CESI仿宋-GB2312" w:hint="eastAsia"/>
          <w:sz w:val="32"/>
          <w:szCs w:val="32"/>
        </w:rPr>
      </w:pPr>
      <w:r>
        <w:rPr>
          <w:rFonts w:ascii="CESI仿宋-GB2312" w:eastAsia="CESI仿宋-GB2312" w:hAnsi="CESI仿宋-GB2312" w:cs="CESI仿宋-GB2312" w:hint="eastAsia"/>
          <w:sz w:val="32"/>
          <w:szCs w:val="32"/>
        </w:rPr>
        <w:lastRenderedPageBreak/>
        <w:t>财务等方面的独立性，并说明你公司对关联方是否存在重大依赖，是否构成本次发行上市实质障碍。</w:t>
      </w:r>
    </w:p>
    <w:p w14:paraId="1FE9D98F" w14:textId="77777777" w:rsidR="00000000" w:rsidRPr="001D0AFE" w:rsidRDefault="00000000">
      <w:pPr>
        <w:spacing w:line="560" w:lineRule="exact"/>
        <w:ind w:firstLineChars="200" w:firstLine="640"/>
        <w:rPr>
          <w:rFonts w:ascii="Times New Roman" w:eastAsia="CESI仿宋-GB2312" w:hAnsi="Times New Roman"/>
          <w:sz w:val="32"/>
          <w:szCs w:val="32"/>
        </w:rPr>
      </w:pPr>
    </w:p>
    <w:p w14:paraId="694C1359" w14:textId="77777777" w:rsidR="00000000" w:rsidRDefault="00000000">
      <w:pPr>
        <w:spacing w:line="560" w:lineRule="exact"/>
        <w:ind w:firstLineChars="200" w:firstLine="640"/>
        <w:rPr>
          <w:rFonts w:ascii="Times New Roman" w:eastAsia="CESI仿宋-GB2312" w:hAnsi="Times New Roman"/>
          <w:sz w:val="32"/>
          <w:szCs w:val="32"/>
        </w:rPr>
      </w:pPr>
    </w:p>
    <w:p w14:paraId="268F2A5B" w14:textId="77777777" w:rsidR="00000000" w:rsidRDefault="00000000">
      <w:pPr>
        <w:spacing w:line="560" w:lineRule="exact"/>
        <w:ind w:firstLineChars="200" w:firstLine="640"/>
        <w:rPr>
          <w:rFonts w:ascii="Times New Roman" w:eastAsia="CESI仿宋-GB2312" w:hAnsi="Times New Roman"/>
          <w:sz w:val="32"/>
          <w:szCs w:val="32"/>
        </w:rPr>
      </w:pPr>
    </w:p>
    <w:p w14:paraId="5D58A38C" w14:textId="77777777" w:rsidR="00000000" w:rsidRDefault="00000000">
      <w:pPr>
        <w:spacing w:line="560" w:lineRule="exact"/>
        <w:ind w:firstLineChars="200" w:firstLine="640"/>
        <w:rPr>
          <w:rFonts w:ascii="Times New Roman" w:eastAsia="CESI仿宋-GB2312" w:hAnsi="Times New Roman"/>
          <w:sz w:val="32"/>
          <w:szCs w:val="32"/>
        </w:rPr>
      </w:pPr>
    </w:p>
    <w:p w14:paraId="2C871E6F" w14:textId="77777777" w:rsidR="00000000" w:rsidRDefault="00000000">
      <w:pPr>
        <w:spacing w:line="560" w:lineRule="exact"/>
        <w:ind w:firstLineChars="200" w:firstLine="640"/>
        <w:rPr>
          <w:rFonts w:ascii="Times New Roman" w:eastAsia="CESI仿宋-GB2312" w:hAnsi="Times New Roman"/>
          <w:sz w:val="32"/>
          <w:szCs w:val="32"/>
        </w:rPr>
      </w:pPr>
    </w:p>
    <w:sectPr w:rsidR="00381837">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9913E" w14:textId="77777777" w:rsidR="00AD39A0" w:rsidRDefault="00AD39A0">
      <w:r>
        <w:separator/>
      </w:r>
    </w:p>
  </w:endnote>
  <w:endnote w:type="continuationSeparator" w:id="0">
    <w:p w14:paraId="687BA1FC" w14:textId="77777777" w:rsidR="00AD39A0" w:rsidRDefault="00AD3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00"/>
    <w:family w:val="auto"/>
    <w:pitch w:val="default"/>
    <w:sig w:usb0="00000000" w:usb1="0000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00"/>
    <w:family w:val="auto"/>
    <w:pitch w:val="default"/>
    <w:sig w:usb0="00000000" w:usb1="00000000" w:usb2="00000000" w:usb3="00000000" w:csb0="00040000" w:csb1="00000000"/>
  </w:font>
  <w:font w:name="方正黑体_GBK">
    <w:altName w:val="微软雅黑"/>
    <w:charset w:val="86"/>
    <w:family w:val="auto"/>
    <w:pitch w:val="default"/>
    <w:sig w:usb0="00000001" w:usb1="08000000" w:usb2="00000000" w:usb3="00000000" w:csb0="00040000" w:csb1="00000000"/>
  </w:font>
  <w:font w:name="CESI仿宋-GB2312">
    <w:altName w:val="微软雅黑"/>
    <w:charset w:val="86"/>
    <w:family w:val="auto"/>
    <w:pitch w:val="default"/>
    <w:sig w:usb0="800002AF" w:usb1="084F6CF8" w:usb2="00000010"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AEE83" w14:textId="77777777" w:rsidR="00000000" w:rsidRDefault="00000000">
    <w:pPr>
      <w:pStyle w:val="a3"/>
    </w:pPr>
    <w:r>
      <w:rPr>
        <w:noProof/>
      </w:rPr>
      <mc:AlternateContent>
        <mc:Choice Requires="wps">
          <w:drawing>
            <wp:anchor distT="0" distB="0" distL="114300" distR="114300" simplePos="0" relativeHeight="251659264" behindDoc="0" locked="0" layoutInCell="1" allowOverlap="1" wp14:anchorId="39198B3B" wp14:editId="23FF366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0D6049A" w14:textId="77777777" w:rsidR="00000000"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198B3B"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10D6049A" w14:textId="77777777" w:rsidR="00000000"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126456" w14:textId="77777777" w:rsidR="00AD39A0" w:rsidRDefault="00AD39A0">
      <w:r>
        <w:separator/>
      </w:r>
    </w:p>
  </w:footnote>
  <w:footnote w:type="continuationSeparator" w:id="0">
    <w:p w14:paraId="464FEE47" w14:textId="77777777" w:rsidR="00AD39A0" w:rsidRDefault="00AD39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CDFAF5B4"/>
    <w:rsid w:val="CDFAF5B4"/>
    <w:rsid w:val="00381837"/>
    <w:rsid w:val="007D01E6"/>
    <w:rsid w:val="0A2B102C"/>
    <w:rsid w:val="0DEFB09E"/>
    <w:rsid w:val="171F6771"/>
    <w:rsid w:val="17F333E4"/>
    <w:rsid w:val="17FD84BC"/>
    <w:rsid w:val="1D4B0807"/>
    <w:rsid w:val="25ED5C0C"/>
    <w:rsid w:val="2AF4F5B0"/>
    <w:rsid w:val="2B7AAE73"/>
    <w:rsid w:val="2CBF98A1"/>
    <w:rsid w:val="2EBF36B2"/>
    <w:rsid w:val="2FB7720B"/>
    <w:rsid w:val="2FED94B0"/>
    <w:rsid w:val="2FF5E8BD"/>
    <w:rsid w:val="351E34E4"/>
    <w:rsid w:val="355FF2F3"/>
    <w:rsid w:val="35B33B6C"/>
    <w:rsid w:val="37FE54D4"/>
    <w:rsid w:val="37FFA508"/>
    <w:rsid w:val="3BF300A6"/>
    <w:rsid w:val="3BF93528"/>
    <w:rsid w:val="3DFF2E83"/>
    <w:rsid w:val="3F5D02ED"/>
    <w:rsid w:val="3F5E63A9"/>
    <w:rsid w:val="3FFF5109"/>
    <w:rsid w:val="46FB3128"/>
    <w:rsid w:val="4DFCCF35"/>
    <w:rsid w:val="4F67EC1C"/>
    <w:rsid w:val="53F9EC31"/>
    <w:rsid w:val="53FF4AD4"/>
    <w:rsid w:val="56732FAB"/>
    <w:rsid w:val="577F03F8"/>
    <w:rsid w:val="5B3A80D2"/>
    <w:rsid w:val="5CFD5408"/>
    <w:rsid w:val="5DABF72F"/>
    <w:rsid w:val="5EF7CBD7"/>
    <w:rsid w:val="5EFF8778"/>
    <w:rsid w:val="5FBAC526"/>
    <w:rsid w:val="5FD3AB61"/>
    <w:rsid w:val="5FDC53C6"/>
    <w:rsid w:val="5FDFCA51"/>
    <w:rsid w:val="5FFED4F7"/>
    <w:rsid w:val="65FD047C"/>
    <w:rsid w:val="67FDA652"/>
    <w:rsid w:val="67FEE590"/>
    <w:rsid w:val="67FF8589"/>
    <w:rsid w:val="687F6037"/>
    <w:rsid w:val="699B6F97"/>
    <w:rsid w:val="6A6F589E"/>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5794409"/>
    <w:rsid w:val="76BF79A7"/>
    <w:rsid w:val="76D528B5"/>
    <w:rsid w:val="76F3E6A9"/>
    <w:rsid w:val="7707987A"/>
    <w:rsid w:val="774E9DBA"/>
    <w:rsid w:val="7756AE3B"/>
    <w:rsid w:val="77BB2612"/>
    <w:rsid w:val="77F63C38"/>
    <w:rsid w:val="77FDDFEE"/>
    <w:rsid w:val="77FF032B"/>
    <w:rsid w:val="77FF0AD3"/>
    <w:rsid w:val="77FF3978"/>
    <w:rsid w:val="78DFC3FA"/>
    <w:rsid w:val="78F73F22"/>
    <w:rsid w:val="797A2F6C"/>
    <w:rsid w:val="79BF3A2D"/>
    <w:rsid w:val="79FF9C64"/>
    <w:rsid w:val="7A7C278B"/>
    <w:rsid w:val="7ADFF88D"/>
    <w:rsid w:val="7AFDCF84"/>
    <w:rsid w:val="7AFF34E5"/>
    <w:rsid w:val="7B779CEC"/>
    <w:rsid w:val="7BB4D7E1"/>
    <w:rsid w:val="7BB6B808"/>
    <w:rsid w:val="7BBF8C02"/>
    <w:rsid w:val="7BD3A58F"/>
    <w:rsid w:val="7BDF0B11"/>
    <w:rsid w:val="7BF6AE2F"/>
    <w:rsid w:val="7BF6E55C"/>
    <w:rsid w:val="7BFBBAFC"/>
    <w:rsid w:val="7BFDE2F9"/>
    <w:rsid w:val="7BFF2CFD"/>
    <w:rsid w:val="7CBC4E39"/>
    <w:rsid w:val="7CBF9F3A"/>
    <w:rsid w:val="7CF9FD3E"/>
    <w:rsid w:val="7D7F1013"/>
    <w:rsid w:val="7D7FE6EC"/>
    <w:rsid w:val="7DEE8249"/>
    <w:rsid w:val="7DEFD2A7"/>
    <w:rsid w:val="7DF87B53"/>
    <w:rsid w:val="7DFE8840"/>
    <w:rsid w:val="7E5C34B7"/>
    <w:rsid w:val="7EB8C5C1"/>
    <w:rsid w:val="7EDE3C4C"/>
    <w:rsid w:val="7EEF45C6"/>
    <w:rsid w:val="7EFFA2BF"/>
    <w:rsid w:val="7F3948BB"/>
    <w:rsid w:val="7F799961"/>
    <w:rsid w:val="7F9E9825"/>
    <w:rsid w:val="7FAD2AF3"/>
    <w:rsid w:val="7FADDB1D"/>
    <w:rsid w:val="7FCBA352"/>
    <w:rsid w:val="7FD5D345"/>
    <w:rsid w:val="7FE8BEE1"/>
    <w:rsid w:val="7FF01D11"/>
    <w:rsid w:val="7FF7769A"/>
    <w:rsid w:val="7FF7DCF2"/>
    <w:rsid w:val="7FF89EF2"/>
    <w:rsid w:val="7FFDC7FA"/>
    <w:rsid w:val="7FFFC4C4"/>
    <w:rsid w:val="7FFFCE12"/>
    <w:rsid w:val="97FAADA5"/>
    <w:rsid w:val="9B339AF2"/>
    <w:rsid w:val="9DFD1896"/>
    <w:rsid w:val="9EFF6EE9"/>
    <w:rsid w:val="9F1FCB7F"/>
    <w:rsid w:val="9FA346E3"/>
    <w:rsid w:val="9FDED63D"/>
    <w:rsid w:val="A7636F25"/>
    <w:rsid w:val="A7667E3B"/>
    <w:rsid w:val="ABE5C066"/>
    <w:rsid w:val="AE7A6A90"/>
    <w:rsid w:val="AF8F56D0"/>
    <w:rsid w:val="B22742D2"/>
    <w:rsid w:val="B379C565"/>
    <w:rsid w:val="B3EECBF7"/>
    <w:rsid w:val="B3EF337F"/>
    <w:rsid w:val="B4FBEE68"/>
    <w:rsid w:val="B6F5EA92"/>
    <w:rsid w:val="B76FDBA6"/>
    <w:rsid w:val="B777CFE7"/>
    <w:rsid w:val="B7BF2D96"/>
    <w:rsid w:val="B7BF8DEC"/>
    <w:rsid w:val="B8F7BDA9"/>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39D61"/>
    <w:rsid w:val="CFEFC41B"/>
    <w:rsid w:val="D47E7E86"/>
    <w:rsid w:val="D637E125"/>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0FD9F91"/>
    <w:rsid w:val="E7451F00"/>
    <w:rsid w:val="E77E761C"/>
    <w:rsid w:val="E77FB003"/>
    <w:rsid w:val="E7E4AAA3"/>
    <w:rsid w:val="E7FDC623"/>
    <w:rsid w:val="E7FFEB4F"/>
    <w:rsid w:val="EA5F50A9"/>
    <w:rsid w:val="EAFD4E19"/>
    <w:rsid w:val="EBDF893F"/>
    <w:rsid w:val="ED78A4F9"/>
    <w:rsid w:val="ED7FEABE"/>
    <w:rsid w:val="EDE77F53"/>
    <w:rsid w:val="EDF5B704"/>
    <w:rsid w:val="EE5B869C"/>
    <w:rsid w:val="EEDFA629"/>
    <w:rsid w:val="EEE7BB01"/>
    <w:rsid w:val="EEFBB1C8"/>
    <w:rsid w:val="EF7E0537"/>
    <w:rsid w:val="EFAD22A7"/>
    <w:rsid w:val="EFBFA6BD"/>
    <w:rsid w:val="EFDFED44"/>
    <w:rsid w:val="EFFCA10E"/>
    <w:rsid w:val="F3FBBB12"/>
    <w:rsid w:val="F3FF76A6"/>
    <w:rsid w:val="F5DB4A6F"/>
    <w:rsid w:val="F66FFFBE"/>
    <w:rsid w:val="F67F1AA1"/>
    <w:rsid w:val="F6FF736B"/>
    <w:rsid w:val="F6FF8ABB"/>
    <w:rsid w:val="F7736D80"/>
    <w:rsid w:val="F7DE2618"/>
    <w:rsid w:val="F96776E3"/>
    <w:rsid w:val="F99E6094"/>
    <w:rsid w:val="F9CB7EDE"/>
    <w:rsid w:val="F9EF4047"/>
    <w:rsid w:val="FAFFD3F9"/>
    <w:rsid w:val="FB3E0F69"/>
    <w:rsid w:val="FB7D38C0"/>
    <w:rsid w:val="FBB35640"/>
    <w:rsid w:val="FBEADAD9"/>
    <w:rsid w:val="FBFDA5AC"/>
    <w:rsid w:val="FC7B643D"/>
    <w:rsid w:val="FD7F35EC"/>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163F"/>
    <w:rsid w:val="FFEA5764"/>
    <w:rsid w:val="FFEF5A82"/>
    <w:rsid w:val="FFF5A8EC"/>
    <w:rsid w:val="FFFC471C"/>
    <w:rsid w:val="FFFD39A1"/>
    <w:rsid w:val="FFFDC110"/>
    <w:rsid w:val="FFFF2027"/>
    <w:rsid w:val="FFFFD8EB"/>
    <w:rsid w:val="001D0AFE"/>
    <w:rsid w:val="0085519B"/>
    <w:rsid w:val="00AD3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1C672"/>
  <w15:docId w15:val="{CEFB7687-88B4-4978-BDA7-15228B1E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tabs>
        <w:tab w:val="center" w:pos="4153"/>
        <w:tab w:val="right" w:pos="8306"/>
      </w:tabs>
      <w:snapToGrid w:val="0"/>
      <w:jc w:val="center"/>
    </w:pPr>
    <w:rPr>
      <w:sz w:val="18"/>
      <w:szCs w:val="18"/>
    </w:rPr>
  </w:style>
  <w:style w:type="paragraph" w:styleId="a5">
    <w:name w:val="Normal (Web)"/>
    <w:basedOn w:val="a"/>
    <w:qFormat/>
    <w:pPr>
      <w:spacing w:before="100" w:beforeAutospacing="1" w:after="100" w:afterAutospacing="1"/>
      <w:jc w:val="left"/>
    </w:pPr>
    <w:rPr>
      <w:kern w:val="0"/>
      <w:sz w:val="24"/>
    </w:rPr>
  </w:style>
  <w:style w:type="character" w:styleId="a6">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800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csrc</dc:creator>
  <cp:lastModifiedBy>淑瑶 刘</cp:lastModifiedBy>
  <cp:revision>3</cp:revision>
  <dcterms:created xsi:type="dcterms:W3CDTF">2023-11-03T09:34:00Z</dcterms:created>
  <dcterms:modified xsi:type="dcterms:W3CDTF">2024-06-28T09:17:00Z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695D2AAFB3E765435D227E667C14E2BE</vt:lpwstr>
  </property>
</Properties>
</file>