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1</w:t>
      </w:r>
      <w:r>
        <w:rPr>
          <w:rFonts w:hint="default"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8</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1</w:t>
      </w:r>
      <w:r>
        <w:rPr>
          <w:rFonts w:hint="default"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14</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2家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香江电器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请你公司就以下事项补充说明，请律师进行核查并出具明确的法律意见：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一、请补充说明重大债权债务情况。</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r>
        <w:rPr>
          <w:rFonts w:hint="default" w:ascii="CESI仿宋-GB2312" w:hAnsi="CESI仿宋-GB2312" w:eastAsia="CESI仿宋-GB2312" w:cs="CESI仿宋-GB2312"/>
          <w:sz w:val="32"/>
          <w:szCs w:val="32"/>
          <w:lang w:val="en-US" w:eastAsia="zh-CN"/>
        </w:rPr>
        <w:t>二、请补充说明前期申报</w:t>
      </w:r>
      <w:r>
        <w:rPr>
          <w:rFonts w:hint="default" w:ascii="Times New Roman" w:hAnsi="Times New Roman" w:eastAsia="CESI仿宋-GB2312" w:cs="Times New Roman"/>
          <w:sz w:val="32"/>
          <w:szCs w:val="32"/>
          <w:lang w:val="en-US" w:eastAsia="zh-CN"/>
        </w:rPr>
        <w:t>A</w:t>
      </w:r>
      <w:r>
        <w:rPr>
          <w:rFonts w:hint="default" w:ascii="CESI仿宋-GB2312" w:hAnsi="CESI仿宋-GB2312" w:eastAsia="CESI仿宋-GB2312" w:cs="CESI仿宋-GB2312"/>
          <w:sz w:val="32"/>
          <w:szCs w:val="32"/>
          <w:lang w:val="en-US" w:eastAsia="zh-CN"/>
        </w:rPr>
        <w:t>股发行上市相关情况，以及是否存在对本次发行上市产生重大影响的事项。</w:t>
      </w:r>
    </w:p>
    <w:p>
      <w:pPr>
        <w:suppressAutoHyphens/>
        <w:spacing w:line="560" w:lineRule="exact"/>
        <w:ind w:firstLine="640" w:firstLineChars="200"/>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荣成新能源</w:t>
      </w:r>
    </w:p>
    <w:p>
      <w:pPr>
        <w:ind w:firstLine="640" w:firstLineChars="200"/>
        <w:jc w:val="both"/>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请你公司就以下事项补充说明，请律师进行核查并出具明确的法律意见：</w:t>
      </w:r>
    </w:p>
    <w:p>
      <w:pPr>
        <w:ind w:firstLine="640" w:firstLineChars="200"/>
        <w:jc w:val="both"/>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一、关于</w:t>
      </w:r>
      <w:r>
        <w:rPr>
          <w:rFonts w:hint="eastAsia" w:ascii="Times New Roman" w:hAnsi="Times New Roman" w:eastAsia="CESI仿宋-GB2312" w:cs="Times New Roman"/>
          <w:sz w:val="32"/>
          <w:szCs w:val="32"/>
          <w:lang w:val="en-US" w:eastAsia="zh-CN"/>
        </w:rPr>
        <w:t>股权架构设立的合规性</w:t>
      </w:r>
      <w:r>
        <w:rPr>
          <w:rFonts w:hint="eastAsia" w:ascii="方正仿宋_GBK" w:hAnsi="方正仿宋_GBK" w:eastAsia="方正仿宋_GBK" w:cs="方正仿宋_GBK"/>
          <w:sz w:val="32"/>
          <w:szCs w:val="32"/>
        </w:rPr>
        <w:t>：请说明你公司返程并购境内主要运营实体荣成拓普威新能源有限公司的支付期限、税费缴纳情况等，并说明是否符</w:t>
      </w:r>
      <w:bookmarkStart w:id="0" w:name="_GoBack"/>
      <w:bookmarkEnd w:id="0"/>
      <w:r>
        <w:rPr>
          <w:rFonts w:hint="eastAsia" w:ascii="方正仿宋_GBK" w:hAnsi="方正仿宋_GBK" w:eastAsia="方正仿宋_GBK" w:cs="方正仿宋_GBK"/>
          <w:sz w:val="32"/>
          <w:szCs w:val="32"/>
        </w:rPr>
        <w:t>合《关于外国投资者并购境内企业的规定》的相关要求。</w:t>
      </w:r>
    </w:p>
    <w:p>
      <w:pPr>
        <w:ind w:firstLine="640" w:firstLineChars="200"/>
        <w:jc w:val="both"/>
        <w:rPr>
          <w:rFonts w:hint="default" w:ascii="CESI仿宋-GB2312" w:hAnsi="CESI仿宋-GB2312" w:eastAsia="CESI仿宋-GB2312" w:cs="CESI仿宋-GB2312"/>
          <w:sz w:val="32"/>
          <w:szCs w:val="32"/>
          <w:lang w:val="en-US" w:eastAsia="zh-CN"/>
        </w:rPr>
      </w:pPr>
      <w:r>
        <w:rPr>
          <w:rFonts w:hint="eastAsia" w:ascii="方正仿宋_GBK" w:hAnsi="方正仿宋_GBK" w:eastAsia="方正仿宋_GBK" w:cs="方正仿宋_GBK"/>
          <w:sz w:val="32"/>
          <w:szCs w:val="32"/>
          <w:lang w:eastAsia="zh-CN"/>
        </w:rPr>
        <w:t>二、</w:t>
      </w:r>
      <w:r>
        <w:rPr>
          <w:rFonts w:hint="eastAsia" w:ascii="方正仿宋_GBK" w:hAnsi="方正仿宋_GBK" w:eastAsia="方正仿宋_GBK" w:cs="方正仿宋_GBK"/>
          <w:sz w:val="32"/>
          <w:szCs w:val="32"/>
        </w:rPr>
        <w:t>关于</w:t>
      </w:r>
      <w:r>
        <w:rPr>
          <w:rFonts w:hint="eastAsia" w:ascii="方正仿宋_GBK" w:hAnsi="方正仿宋_GBK" w:eastAsia="方正仿宋_GBK" w:cs="方正仿宋_GBK"/>
          <w:sz w:val="32"/>
          <w:szCs w:val="32"/>
          <w:lang w:eastAsia="zh-CN"/>
        </w:rPr>
        <w:t>主要股东情况</w:t>
      </w:r>
      <w:r>
        <w:rPr>
          <w:rFonts w:hint="eastAsia" w:ascii="方正仿宋_GBK" w:hAnsi="方正仿宋_GBK" w:eastAsia="方正仿宋_GBK" w:cs="方正仿宋_GBK"/>
          <w:sz w:val="32"/>
          <w:szCs w:val="32"/>
        </w:rPr>
        <w:t>：请按照《监管规则适用指引</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境外发行上市类第</w:t>
      </w:r>
      <w:r>
        <w:rPr>
          <w:rFonts w:hint="eastAsia" w:ascii="Times New Roman" w:hAnsi="Times New Roman" w:eastAsia="CESI仿宋-GB2312" w:cs="Times New Roman"/>
          <w:sz w:val="32"/>
          <w:szCs w:val="32"/>
          <w:lang w:val="en-US" w:eastAsia="zh-CN"/>
        </w:rPr>
        <w:t>2</w:t>
      </w:r>
      <w:r>
        <w:rPr>
          <w:rFonts w:hint="eastAsia" w:ascii="方正仿宋_GBK" w:hAnsi="方正仿宋_GBK" w:eastAsia="方正仿宋_GBK" w:cs="方正仿宋_GBK"/>
          <w:sz w:val="32"/>
          <w:szCs w:val="32"/>
        </w:rPr>
        <w:t>号：备案材料内容和格式指引》的要求，说明你公司持有发行人</w:t>
      </w:r>
      <w:r>
        <w:rPr>
          <w:rFonts w:hint="eastAsia" w:ascii="Times New Roman" w:hAnsi="Times New Roman" w:eastAsia="CESI仿宋-GB2312" w:cs="Times New Roman"/>
          <w:sz w:val="32"/>
          <w:szCs w:val="32"/>
          <w:lang w:val="en-US" w:eastAsia="zh-CN"/>
        </w:rPr>
        <w:t>5%</w:t>
      </w:r>
      <w:r>
        <w:rPr>
          <w:rFonts w:hint="eastAsia" w:ascii="方正仿宋_GBK" w:hAnsi="方正仿宋_GBK" w:eastAsia="方正仿宋_GBK" w:cs="方正仿宋_GBK"/>
          <w:sz w:val="32"/>
          <w:szCs w:val="32"/>
        </w:rPr>
        <w:t>以上股份或表决权的主要股东的基本情况。</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仿宋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0FF9EF93"/>
    <w:rsid w:val="171F6771"/>
    <w:rsid w:val="17F333E4"/>
    <w:rsid w:val="17FD84BC"/>
    <w:rsid w:val="1D4B0807"/>
    <w:rsid w:val="1FFAA872"/>
    <w:rsid w:val="21BB4486"/>
    <w:rsid w:val="25ED5C0C"/>
    <w:rsid w:val="2AF4F5B0"/>
    <w:rsid w:val="2B7AAE73"/>
    <w:rsid w:val="2C8F9EF0"/>
    <w:rsid w:val="2CBF98A1"/>
    <w:rsid w:val="2E63AAAF"/>
    <w:rsid w:val="2EBF36B2"/>
    <w:rsid w:val="2FB7720B"/>
    <w:rsid w:val="2FD96C99"/>
    <w:rsid w:val="2FED94B0"/>
    <w:rsid w:val="2FF5E8BD"/>
    <w:rsid w:val="351E34E4"/>
    <w:rsid w:val="355FF2F3"/>
    <w:rsid w:val="35B33B6C"/>
    <w:rsid w:val="37FE54D4"/>
    <w:rsid w:val="37FFA508"/>
    <w:rsid w:val="395F23BC"/>
    <w:rsid w:val="3BF300A6"/>
    <w:rsid w:val="3BF93528"/>
    <w:rsid w:val="3DFF2E83"/>
    <w:rsid w:val="3F5D02ED"/>
    <w:rsid w:val="3F5E63A9"/>
    <w:rsid w:val="3FBE5D31"/>
    <w:rsid w:val="3FF3B4EB"/>
    <w:rsid w:val="3FF77D9F"/>
    <w:rsid w:val="3FFF5109"/>
    <w:rsid w:val="467EA25A"/>
    <w:rsid w:val="46DBF8AD"/>
    <w:rsid w:val="46FB3128"/>
    <w:rsid w:val="4DFCCF35"/>
    <w:rsid w:val="4F67EC1C"/>
    <w:rsid w:val="537B2CCB"/>
    <w:rsid w:val="537CC3EB"/>
    <w:rsid w:val="53F9EC31"/>
    <w:rsid w:val="53FF4AD4"/>
    <w:rsid w:val="56732FAB"/>
    <w:rsid w:val="575F59D4"/>
    <w:rsid w:val="577F03F8"/>
    <w:rsid w:val="59EAA982"/>
    <w:rsid w:val="59FDEF05"/>
    <w:rsid w:val="5B3A80D2"/>
    <w:rsid w:val="5BFEEAF0"/>
    <w:rsid w:val="5CFD5408"/>
    <w:rsid w:val="5D1E63DC"/>
    <w:rsid w:val="5DABF72F"/>
    <w:rsid w:val="5DDFB6CE"/>
    <w:rsid w:val="5EF7CBD7"/>
    <w:rsid w:val="5EFF8778"/>
    <w:rsid w:val="5F7EEB54"/>
    <w:rsid w:val="5FBAC526"/>
    <w:rsid w:val="5FBD0436"/>
    <w:rsid w:val="5FBEF08F"/>
    <w:rsid w:val="5FD3AB61"/>
    <w:rsid w:val="5FDC53C6"/>
    <w:rsid w:val="5FDFCA51"/>
    <w:rsid w:val="5FFB43CC"/>
    <w:rsid w:val="5FFED4F7"/>
    <w:rsid w:val="65FD047C"/>
    <w:rsid w:val="67FDA652"/>
    <w:rsid w:val="67FEE590"/>
    <w:rsid w:val="67FF8589"/>
    <w:rsid w:val="687F6037"/>
    <w:rsid w:val="689FB0EA"/>
    <w:rsid w:val="695D5B7B"/>
    <w:rsid w:val="699B6F97"/>
    <w:rsid w:val="6A6F589E"/>
    <w:rsid w:val="6BE93B6A"/>
    <w:rsid w:val="6CFFD41B"/>
    <w:rsid w:val="6D7F7769"/>
    <w:rsid w:val="6D7FFA4E"/>
    <w:rsid w:val="6E7B572D"/>
    <w:rsid w:val="6F3CEBE0"/>
    <w:rsid w:val="6F63236F"/>
    <w:rsid w:val="6F6B66DD"/>
    <w:rsid w:val="6F6B6D1F"/>
    <w:rsid w:val="6F77AED1"/>
    <w:rsid w:val="6FB7BF97"/>
    <w:rsid w:val="6FBFA923"/>
    <w:rsid w:val="6FCE50AD"/>
    <w:rsid w:val="6FD7D002"/>
    <w:rsid w:val="6FEC159A"/>
    <w:rsid w:val="6FFD88D1"/>
    <w:rsid w:val="6FFF548D"/>
    <w:rsid w:val="71EB6D43"/>
    <w:rsid w:val="71EFC2FB"/>
    <w:rsid w:val="7387391C"/>
    <w:rsid w:val="73BE761E"/>
    <w:rsid w:val="73FEEA08"/>
    <w:rsid w:val="73FF2041"/>
    <w:rsid w:val="73FF3BBD"/>
    <w:rsid w:val="745FCC1D"/>
    <w:rsid w:val="74FFF313"/>
    <w:rsid w:val="75794409"/>
    <w:rsid w:val="76BF79A7"/>
    <w:rsid w:val="76D528B5"/>
    <w:rsid w:val="76F3E6A9"/>
    <w:rsid w:val="7707987A"/>
    <w:rsid w:val="774E9DBA"/>
    <w:rsid w:val="7756AE3B"/>
    <w:rsid w:val="7772B3D2"/>
    <w:rsid w:val="77BB2612"/>
    <w:rsid w:val="77F2DDB0"/>
    <w:rsid w:val="77F63C38"/>
    <w:rsid w:val="77F7BDBE"/>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A34EC"/>
    <w:rsid w:val="7BFBBAFC"/>
    <w:rsid w:val="7BFD7C89"/>
    <w:rsid w:val="7BFDE2F9"/>
    <w:rsid w:val="7BFF2CFD"/>
    <w:rsid w:val="7CBC4E39"/>
    <w:rsid w:val="7CBF9F3A"/>
    <w:rsid w:val="7CF7E1EF"/>
    <w:rsid w:val="7CF9FD3E"/>
    <w:rsid w:val="7D7F1013"/>
    <w:rsid w:val="7D7FE6EC"/>
    <w:rsid w:val="7DC5CA7E"/>
    <w:rsid w:val="7DEE8249"/>
    <w:rsid w:val="7DEFD2A7"/>
    <w:rsid w:val="7DFE8840"/>
    <w:rsid w:val="7E5C34B7"/>
    <w:rsid w:val="7EB8C5C1"/>
    <w:rsid w:val="7EBF9F84"/>
    <w:rsid w:val="7EDE3C4C"/>
    <w:rsid w:val="7EEF45C6"/>
    <w:rsid w:val="7EF945EE"/>
    <w:rsid w:val="7EFFA2BF"/>
    <w:rsid w:val="7F371EC9"/>
    <w:rsid w:val="7F3948BB"/>
    <w:rsid w:val="7F799961"/>
    <w:rsid w:val="7F7B1B05"/>
    <w:rsid w:val="7F9E9825"/>
    <w:rsid w:val="7FAD2AF3"/>
    <w:rsid w:val="7FADDB1D"/>
    <w:rsid w:val="7FAF57F3"/>
    <w:rsid w:val="7FBD694C"/>
    <w:rsid w:val="7FC66A5F"/>
    <w:rsid w:val="7FCBA352"/>
    <w:rsid w:val="7FD5D345"/>
    <w:rsid w:val="7FE6633F"/>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7E189A"/>
    <w:rsid w:val="9FA346E3"/>
    <w:rsid w:val="9FDED63D"/>
    <w:rsid w:val="A7636F25"/>
    <w:rsid w:val="A7667E3B"/>
    <w:rsid w:val="AB38140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8F4555"/>
    <w:rsid w:val="D6C54BFB"/>
    <w:rsid w:val="D779B982"/>
    <w:rsid w:val="D7FF0922"/>
    <w:rsid w:val="DA477FC9"/>
    <w:rsid w:val="DA7D2610"/>
    <w:rsid w:val="DB3B6D81"/>
    <w:rsid w:val="DBE7F07D"/>
    <w:rsid w:val="DBEBCCFD"/>
    <w:rsid w:val="DBF404C9"/>
    <w:rsid w:val="DCFC869C"/>
    <w:rsid w:val="DDDDB71E"/>
    <w:rsid w:val="DDE7B892"/>
    <w:rsid w:val="DDFE5719"/>
    <w:rsid w:val="DEEE49F4"/>
    <w:rsid w:val="DEFDBADA"/>
    <w:rsid w:val="DFB77093"/>
    <w:rsid w:val="DFBA9CF4"/>
    <w:rsid w:val="DFD9E41F"/>
    <w:rsid w:val="DFE5A22D"/>
    <w:rsid w:val="DFE7E878"/>
    <w:rsid w:val="DFED2483"/>
    <w:rsid w:val="DFEF17C0"/>
    <w:rsid w:val="DFF77525"/>
    <w:rsid w:val="E7451F00"/>
    <w:rsid w:val="E77E761C"/>
    <w:rsid w:val="E77FB003"/>
    <w:rsid w:val="E7E4AAA3"/>
    <w:rsid w:val="E7FDC623"/>
    <w:rsid w:val="E7FFEB4F"/>
    <w:rsid w:val="EA5F50A9"/>
    <w:rsid w:val="EAA7911E"/>
    <w:rsid w:val="EAFD4E19"/>
    <w:rsid w:val="EBDF893F"/>
    <w:rsid w:val="ECEFE2D1"/>
    <w:rsid w:val="ED78A4F9"/>
    <w:rsid w:val="ED7FEABE"/>
    <w:rsid w:val="EDBD09A9"/>
    <w:rsid w:val="EDE59D21"/>
    <w:rsid w:val="EDE77F53"/>
    <w:rsid w:val="EDF5B704"/>
    <w:rsid w:val="EE5B869C"/>
    <w:rsid w:val="EEDF1829"/>
    <w:rsid w:val="EEDFA629"/>
    <w:rsid w:val="EEE7BB01"/>
    <w:rsid w:val="EEFBB1C8"/>
    <w:rsid w:val="EF7C4557"/>
    <w:rsid w:val="EF7E0537"/>
    <w:rsid w:val="EFAD22A7"/>
    <w:rsid w:val="EFBFA6BD"/>
    <w:rsid w:val="EFDFED44"/>
    <w:rsid w:val="EFEB7C7E"/>
    <w:rsid w:val="EFF489A9"/>
    <w:rsid w:val="EFFCA10E"/>
    <w:rsid w:val="F1789489"/>
    <w:rsid w:val="F39DF92C"/>
    <w:rsid w:val="F3DB317B"/>
    <w:rsid w:val="F3FBBB12"/>
    <w:rsid w:val="F3FF76A6"/>
    <w:rsid w:val="F5DB4A6F"/>
    <w:rsid w:val="F5DDF558"/>
    <w:rsid w:val="F65FC488"/>
    <w:rsid w:val="F66FFFBE"/>
    <w:rsid w:val="F67F1AA1"/>
    <w:rsid w:val="F6FF736B"/>
    <w:rsid w:val="F6FF8ABB"/>
    <w:rsid w:val="F7736D80"/>
    <w:rsid w:val="F7DE2618"/>
    <w:rsid w:val="F8FF5276"/>
    <w:rsid w:val="F91FCA98"/>
    <w:rsid w:val="F96776E3"/>
    <w:rsid w:val="F99E6094"/>
    <w:rsid w:val="F9CB7EDE"/>
    <w:rsid w:val="F9EF4047"/>
    <w:rsid w:val="F9F77072"/>
    <w:rsid w:val="FAF5F95B"/>
    <w:rsid w:val="FAFFD3F9"/>
    <w:rsid w:val="FB3E0F69"/>
    <w:rsid w:val="FB7BB860"/>
    <w:rsid w:val="FB7D38C0"/>
    <w:rsid w:val="FB9DC6A3"/>
    <w:rsid w:val="FBA775E2"/>
    <w:rsid w:val="FBB35640"/>
    <w:rsid w:val="FBEADAD9"/>
    <w:rsid w:val="FBFDA5AC"/>
    <w:rsid w:val="FBFF187D"/>
    <w:rsid w:val="FC7B643D"/>
    <w:rsid w:val="FC7FDC4A"/>
    <w:rsid w:val="FD7F35EC"/>
    <w:rsid w:val="FDBFF543"/>
    <w:rsid w:val="FDDFFD9A"/>
    <w:rsid w:val="FE398695"/>
    <w:rsid w:val="FE3FFEAD"/>
    <w:rsid w:val="FE572BBB"/>
    <w:rsid w:val="FE7F3A36"/>
    <w:rsid w:val="FEBFC724"/>
    <w:rsid w:val="FEDF5629"/>
    <w:rsid w:val="FEF37979"/>
    <w:rsid w:val="FEF445FD"/>
    <w:rsid w:val="FEF7DC0E"/>
    <w:rsid w:val="FEFD2E95"/>
    <w:rsid w:val="FEFF005D"/>
    <w:rsid w:val="FEFF6E20"/>
    <w:rsid w:val="FF3522AB"/>
    <w:rsid w:val="FF9EB6D0"/>
    <w:rsid w:val="FFB9E6AD"/>
    <w:rsid w:val="FFC6C8AE"/>
    <w:rsid w:val="FFEA163F"/>
    <w:rsid w:val="FFEA5764"/>
    <w:rsid w:val="FFEF5A82"/>
    <w:rsid w:val="FFF5A8EC"/>
    <w:rsid w:val="FFF96D96"/>
    <w:rsid w:val="FFFC471C"/>
    <w:rsid w:val="FFFD39A1"/>
    <w:rsid w:val="FFFD3AE8"/>
    <w:rsid w:val="FFFDC110"/>
    <w:rsid w:val="FFFF2027"/>
    <w:rsid w:val="FFFF6A06"/>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2023-11-17T01:34:00Z</dcterms:created>
  <dc:creator>csrc</dc:creator>
  <cp:lastModifiedBy>mz</cp:lastModifiedBy>
  <dcterms:modified xsi:type="dcterms:W3CDTF">2024-11-15T17:55:58Z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