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（2023年</w:t>
      </w:r>
      <w:r>
        <w:rPr>
          <w:rFonts w:hint="eastAsia" w:ascii="Times New Roman" w:hAnsi="Times New Roman" w:eastAsia="方正大标宋简体"/>
          <w:bCs/>
          <w:sz w:val="32"/>
          <w:szCs w:val="32"/>
          <w:lang w:val="en-US" w:eastAsia="zh-CN"/>
        </w:rPr>
        <w:t>10</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7</w:t>
      </w:r>
      <w:r>
        <w:rPr>
          <w:rFonts w:ascii="Times New Roman" w:hAnsi="Times New Roman" w:eastAsia="方正大标宋简体"/>
          <w:bCs/>
          <w:sz w:val="32"/>
          <w:szCs w:val="32"/>
        </w:rPr>
        <w:t>日—2023年</w:t>
      </w:r>
      <w:r>
        <w:rPr>
          <w:rFonts w:hint="eastAsia" w:ascii="Times New Roman" w:hAnsi="Times New Roman" w:eastAsia="方正大标宋简体"/>
          <w:bCs/>
          <w:sz w:val="32"/>
          <w:szCs w:val="32"/>
          <w:lang w:val="en-US" w:eastAsia="zh-CN"/>
        </w:rPr>
        <w:t>10</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12</w:t>
      </w:r>
      <w:r>
        <w:rPr>
          <w:rFonts w:ascii="Times New Roman" w:hAnsi="Times New Roman" w:eastAsia="方正大标宋简体"/>
          <w:bCs/>
          <w:sz w:val="32"/>
          <w:szCs w:val="32"/>
        </w:rPr>
        <w:t>日）</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本周国际部共对</w:t>
      </w:r>
      <w:r>
        <w:rPr>
          <w:rFonts w:hint="eastAsia" w:ascii="Times New Roman" w:hAnsi="Times New Roman" w:eastAsia="仿宋_GB2312"/>
          <w:sz w:val="32"/>
          <w:szCs w:val="32"/>
          <w:highlight w:val="none"/>
          <w:lang w:val="en-US" w:eastAsia="zh-CN"/>
        </w:rPr>
        <w:t>1家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spacing w:line="560" w:lineRule="exact"/>
        <w:ind w:firstLine="640" w:firstLineChars="200"/>
        <w:rPr>
          <w:rFonts w:hint="eastAsia"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飞天兆业（秘交转公开）</w:t>
      </w:r>
    </w:p>
    <w:p>
      <w:pPr>
        <w:ind w:firstLine="640" w:firstLineChars="200"/>
        <w:rPr>
          <w:rFonts w:hint="eastAsia" w:ascii="CESI仿宋-GB2312" w:hAnsi="CESI仿宋-GB2312" w:eastAsia="CESI仿宋-GB2312" w:cs="CESI仿宋-GB2312"/>
          <w:sz w:val="32"/>
          <w:szCs w:val="32"/>
          <w:lang w:eastAsia="zh-CN"/>
        </w:rPr>
      </w:pPr>
      <w:r>
        <w:rPr>
          <w:rFonts w:hint="eastAsia" w:ascii="CESI仿宋-GB2312" w:hAnsi="CESI仿宋-GB2312" w:eastAsia="CESI仿宋-GB2312" w:cs="CESI仿宋-GB2312"/>
          <w:sz w:val="32"/>
          <w:szCs w:val="32"/>
        </w:rPr>
        <w:t>请你公司补充说明以下事项，请律师核查并出具明确的法律意见</w:t>
      </w:r>
      <w:r>
        <w:rPr>
          <w:rFonts w:hint="eastAsia" w:ascii="CESI仿宋-GB2312" w:hAnsi="CESI仿宋-GB2312" w:eastAsia="CESI仿宋-GB2312" w:cs="CESI仿宋-GB2312"/>
          <w:sz w:val="32"/>
          <w:szCs w:val="32"/>
          <w:lang w:eastAsia="zh-CN"/>
        </w:rPr>
        <w:t>：</w:t>
      </w:r>
    </w:p>
    <w:p>
      <w:pPr>
        <w:ind w:firstLine="640" w:firstLineChars="200"/>
        <w:rPr>
          <w:rFonts w:hint="eastAsia" w:ascii="CESI仿宋-GB2312" w:hAnsi="CESI仿宋-GB2312" w:eastAsia="CESI仿宋-GB2312" w:cs="CESI仿宋-GB2312"/>
          <w:sz w:val="32"/>
          <w:szCs w:val="32"/>
          <w:lang w:eastAsia="zh-CN"/>
        </w:rPr>
      </w:pPr>
      <w:r>
        <w:rPr>
          <w:rFonts w:hint="eastAsia" w:ascii="CESI仿宋-GB2312" w:hAnsi="CESI仿宋-GB2312" w:eastAsia="CESI仿宋-GB2312" w:cs="CESI仿宋-GB2312"/>
          <w:sz w:val="32"/>
          <w:szCs w:val="32"/>
          <w:lang w:eastAsia="zh-CN"/>
        </w:rPr>
        <w:t>一、</w:t>
      </w:r>
      <w:r>
        <w:rPr>
          <w:rFonts w:hint="eastAsia" w:ascii="CESI仿宋-GB2312" w:hAnsi="CESI仿宋-GB2312" w:eastAsia="CESI仿宋-GB2312" w:cs="CESI仿宋-GB2312"/>
          <w:sz w:val="32"/>
          <w:szCs w:val="32"/>
        </w:rPr>
        <w:t>请说明本次上市发行具体方案，包括发行方式、发行规模等</w:t>
      </w:r>
      <w:r>
        <w:rPr>
          <w:rFonts w:hint="eastAsia" w:ascii="CESI仿宋-GB2312" w:hAnsi="CESI仿宋-GB2312" w:eastAsia="CESI仿宋-GB2312" w:cs="CESI仿宋-GB2312"/>
          <w:sz w:val="32"/>
          <w:szCs w:val="32"/>
          <w:lang w:eastAsia="zh-CN"/>
        </w:rPr>
        <w:t>。</w:t>
      </w:r>
    </w:p>
    <w:p>
      <w:pPr>
        <w:ind w:firstLine="640" w:firstLineChars="200"/>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lang w:eastAsia="zh-CN"/>
        </w:rPr>
        <w:t>二、</w:t>
      </w:r>
      <w:r>
        <w:rPr>
          <w:rFonts w:hint="eastAsia" w:ascii="CESI仿宋-GB2312" w:hAnsi="CESI仿宋-GB2312" w:eastAsia="CESI仿宋-GB2312" w:cs="CESI仿宋-GB2312"/>
          <w:sz w:val="32"/>
          <w:szCs w:val="32"/>
        </w:rPr>
        <w:t>请说明主要境内运营实体北京飞天兆业科技有限责任公司注册资本末缴足的原因及合规性，是否对公司业务运营和偿债能力造成重大影响。</w:t>
      </w:r>
    </w:p>
    <w:p>
      <w:pPr>
        <w:ind w:firstLine="640" w:firstLineChars="200"/>
        <w:rPr>
          <w:rFonts w:hint="eastAsia" w:ascii="Times New Roman" w:hAnsi="Times New Roman" w:eastAsia="方正黑体_GBK"/>
          <w:sz w:val="32"/>
          <w:szCs w:val="32"/>
          <w:lang w:val="en-US" w:eastAsia="zh-CN"/>
        </w:rPr>
      </w:pPr>
      <w:r>
        <w:rPr>
          <w:rFonts w:hint="eastAsia" w:ascii="CESI仿宋-GB2312" w:hAnsi="CESI仿宋-GB2312" w:eastAsia="CESI仿宋-GB2312" w:cs="CESI仿宋-GB2312"/>
          <w:sz w:val="32"/>
          <w:szCs w:val="32"/>
        </w:rPr>
        <w:t>三、关于股权架构：</w:t>
      </w:r>
      <w:r>
        <w:rPr>
          <w:rFonts w:hint="eastAsia" w:ascii="Times New Roman" w:hAnsi="Times New Roman" w:eastAsia="CESI仿宋-GB2312"/>
          <w:sz w:val="32"/>
          <w:szCs w:val="32"/>
          <w:lang w:val="en-US" w:eastAsia="zh-CN"/>
        </w:rPr>
        <w:t>（1）</w:t>
      </w:r>
      <w:r>
        <w:rPr>
          <w:rFonts w:hint="eastAsia" w:ascii="CESI仿宋-GB2312" w:hAnsi="CESI仿宋-GB2312" w:eastAsia="CESI仿宋-GB2312" w:cs="CESI仿宋-GB2312"/>
          <w:sz w:val="32"/>
          <w:szCs w:val="32"/>
        </w:rPr>
        <w:t>关于境外搭建离岸架构和返程投资涉及的外汇登记、境外投</w:t>
      </w:r>
      <w:bookmarkStart w:id="0" w:name="_GoBack"/>
      <w:bookmarkEnd w:id="0"/>
      <w:r>
        <w:rPr>
          <w:rFonts w:hint="eastAsia" w:ascii="CESI仿宋-GB2312" w:hAnsi="CESI仿宋-GB2312" w:eastAsia="CESI仿宋-GB2312" w:cs="CESI仿宋-GB2312"/>
          <w:sz w:val="32"/>
          <w:szCs w:val="32"/>
        </w:rPr>
        <w:t>资、外商投资等</w:t>
      </w:r>
      <w:r>
        <w:rPr>
          <w:rFonts w:hint="eastAsia" w:ascii="CESI仿宋-GB2312" w:hAnsi="CESI仿宋-GB2312" w:eastAsia="CESI仿宋-GB2312" w:cs="CESI仿宋-GB2312"/>
          <w:sz w:val="32"/>
          <w:szCs w:val="32"/>
          <w:lang w:eastAsia="zh-CN"/>
        </w:rPr>
        <w:t>监管程序</w:t>
      </w:r>
      <w:r>
        <w:rPr>
          <w:rFonts w:hint="eastAsia" w:ascii="CESI仿宋-GB2312" w:hAnsi="CESI仿宋-GB2312" w:eastAsia="CESI仿宋-GB2312" w:cs="CESI仿宋-GB2312"/>
          <w:sz w:val="32"/>
          <w:szCs w:val="32"/>
        </w:rPr>
        <w:t>方面合规性的结论性意见</w:t>
      </w:r>
      <w:r>
        <w:rPr>
          <w:rFonts w:hint="eastAsia" w:ascii="CESI仿宋-GB2312" w:hAnsi="CESI仿宋-GB2312" w:eastAsia="CESI仿宋-GB2312" w:cs="CESI仿宋-GB2312"/>
          <w:sz w:val="32"/>
          <w:szCs w:val="32"/>
          <w:lang w:eastAsia="zh-CN"/>
        </w:rPr>
        <w:t>；</w:t>
      </w:r>
      <w:r>
        <w:rPr>
          <w:rFonts w:hint="eastAsia" w:ascii="Times New Roman" w:hAnsi="Times New Roman" w:eastAsia="CESI仿宋-GB2312"/>
          <w:sz w:val="32"/>
          <w:szCs w:val="32"/>
          <w:lang w:val="en-US" w:eastAsia="zh-CN"/>
        </w:rPr>
        <w:t>（2）</w:t>
      </w:r>
      <w:r>
        <w:rPr>
          <w:rFonts w:hint="eastAsia" w:ascii="CESI仿宋-GB2312" w:hAnsi="CESI仿宋-GB2312" w:eastAsia="CESI仿宋-GB2312" w:cs="CESI仿宋-GB2312"/>
          <w:sz w:val="32"/>
          <w:szCs w:val="32"/>
        </w:rPr>
        <w:t>请说明通过北京锦瑞希医疗科技有限公司收购北京飞天兆业科技有限责任公司股权的作价依据及公允性和税务处理合规性情况，是否符合《关于外国投资者并购境内企业的规定》</w:t>
      </w:r>
      <w:r>
        <w:rPr>
          <w:rFonts w:hint="eastAsia" w:ascii="CESI仿宋-GB2312" w:hAnsi="CESI仿宋-GB2312" w:eastAsia="CESI仿宋-GB2312" w:cs="CESI仿宋-GB2312"/>
          <w:sz w:val="32"/>
          <w:szCs w:val="32"/>
          <w:lang w:eastAsia="zh-CN"/>
        </w:rPr>
        <w:t>。</w:t>
      </w:r>
    </w:p>
    <w:p>
      <w:pPr>
        <w:spacing w:line="560" w:lineRule="exact"/>
        <w:ind w:firstLine="640" w:firstLineChars="200"/>
        <w:rPr>
          <w:rFonts w:hint="eastAsia"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宸褀科技</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r>
        <w:rPr>
          <w:rFonts w:hint="default" w:ascii="Times New Roman" w:hAnsi="Times New Roman" w:eastAsia="CESI仿宋-GB2312"/>
          <w:sz w:val="32"/>
          <w:szCs w:val="32"/>
          <w:lang w:val="en-US" w:eastAsia="zh-CN"/>
        </w:rPr>
        <w:br w:type="textWrapping"/>
      </w:r>
      <w:r>
        <w:rPr>
          <w:rFonts w:hint="eastAsia" w:ascii="Times New Roman" w:hAnsi="Times New Roman" w:eastAsia="CESI仿宋-GB2312"/>
          <w:sz w:val="32"/>
          <w:szCs w:val="32"/>
          <w:lang w:val="en-US" w:eastAsia="zh-CN"/>
        </w:rPr>
        <w:t xml:space="preserve">    </w:t>
      </w:r>
      <w:r>
        <w:rPr>
          <w:rFonts w:hint="default" w:ascii="Times New Roman" w:hAnsi="Times New Roman" w:eastAsia="CESI仿宋-GB2312"/>
          <w:sz w:val="32"/>
          <w:szCs w:val="32"/>
          <w:lang w:val="en-US" w:eastAsia="zh-CN"/>
        </w:rPr>
        <w:t>一</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关于股权情况，请说明：（1）康地有限公司与广州公交集团股权转让情况，定价依据、价款支付情况及税费缴纳情况，转让或增资价格是否公允；（2）发起设立及A轮、 B轮融资所涉境内机构股东（含持有认股权证股东）外汇管理、对外投资监管程序履行情况；（3）广州公交集团等国有股东国资管理程序履行情况；（4）股权激励所涉信托的设立时间、类型及运作方式、期限、各信托当事人权利义务安排及信托受益人等情况；境内股权激励平台致行科技减资的合规性及税费缴纳情况。</w:t>
      </w:r>
    </w:p>
    <w:p>
      <w:pPr>
        <w:numPr>
          <w:ilvl w:val="0"/>
          <w:numId w:val="1"/>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关于协议控制架构，请说明协议控制架构下发行人层面股东与主要境内运营实体祺宸科技股东及持股比例不一致的原因及合理性，是否存在代持情形，并说明相关安排可能引发的控制权稳定、相关主体违约等风险及应对措施。</w:t>
      </w:r>
    </w:p>
    <w:p>
      <w:pPr>
        <w:numPr>
          <w:ilvl w:val="0"/>
          <w:numId w:val="1"/>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规范运作方面，请说明开发、运营的网站、APP、小程序等产品收集及储存的客户信息规模、数据收集使用情况，是否涉及向第三方提供个人用户信息，上市前后个人信息保护和数据安全的安排或措施。</w:t>
      </w:r>
    </w:p>
    <w:p>
      <w:pPr>
        <w:numPr>
          <w:numId w:val="0"/>
        </w:numPr>
        <w:spacing w:line="560" w:lineRule="exact"/>
        <w:rPr>
          <w:rFonts w:hint="default" w:ascii="Times New Roman" w:hAnsi="Times New Roman" w:eastAsia="CESI仿宋-GB2312"/>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9dBt2NwIAAG8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MUB0szDAREp96dEK7b4d+OxNcQZNZ/o58ZZvapSyZT48MIfBQPl4OuEeSykNUprBoqQy&#10;7su/zmM8+gUvJQ0GLaca74oS+V6jjwAMo+FGYz8a+qjuDCYXvUEtnYkLLsjRLJ1Rn/GeVjEHXExz&#10;ZMppGM270A873iMXq1UXdLSuPlT9BUyhZWGrd5bHNFEqb1fHAGk7xaNAvSroVNxgDrueDW8mDvqf&#10;+y7q8T+x/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vXQbdjcCAABvBAAADgAAAAAA&#10;AAABACAAAAA1AQAAZHJzL2Uyb0RvYy54bWxQSwECFAAUAAAACACHTuJAs0lY7tAAAAAFAQAADwAA&#10;AAAAAAABACAAAAA4AAAAZHJzL2Rvd25yZXYueG1sUEsBAhQACgAAAAAAh07iQAAAAAAAAAAAAAAA&#10;AAQAAAAAAAAAAAAQAAAAFgAAAGRycy9QSwUGAAAAAAYABgBZAQAA3gU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FC5FCF"/>
    <w:multiLevelType w:val="singleLevel"/>
    <w:tmpl w:val="EAFC5FCF"/>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2CBF98A1"/>
    <w:rsid w:val="37FFA508"/>
    <w:rsid w:val="5FBAC526"/>
    <w:rsid w:val="6FB7BF97"/>
    <w:rsid w:val="6FBFA923"/>
    <w:rsid w:val="6FFD88D1"/>
    <w:rsid w:val="7CBF9F3A"/>
    <w:rsid w:val="7EB8C5C1"/>
    <w:rsid w:val="9B339AF2"/>
    <w:rsid w:val="B379C565"/>
    <w:rsid w:val="B3EECBF7"/>
    <w:rsid w:val="BB1E9A4F"/>
    <w:rsid w:val="BFA631D0"/>
    <w:rsid w:val="CDFAF5B4"/>
    <w:rsid w:val="DDE7B892"/>
    <w:rsid w:val="EBDF893F"/>
    <w:rsid w:val="F3FBBB12"/>
    <w:rsid w:val="F3FF76A6"/>
    <w:rsid w:val="FBEADAD9"/>
    <w:rsid w:val="FEF445FD"/>
    <w:rsid w:val="FFF5A8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2023-09-28T01:34:00Z</dcterms:created>
  <dc:creator>csrc</dc:creator>
  <cp:lastModifiedBy>csrc</cp:lastModifiedBy>
  <dcterms:modified xsi:type="dcterms:W3CDTF">2023-10-13T14:38:20Z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6E50D6BC1684E1C319E41065FCFC32D4</vt:lpwstr>
  </property>
</Properties>
</file>