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bookmarkStart w:id="0" w:name="_GoBack"/>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（2023年</w:t>
      </w:r>
      <w:r>
        <w:rPr>
          <w:rFonts w:hint="eastAsia" w:ascii="Times New Roman" w:hAnsi="Times New Roman" w:eastAsia="方正大标宋简体"/>
          <w:bCs/>
          <w:sz w:val="32"/>
          <w:szCs w:val="32"/>
          <w:lang w:val="en-US" w:eastAsia="zh-CN"/>
        </w:rPr>
        <w:t>10</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13</w:t>
      </w:r>
      <w:r>
        <w:rPr>
          <w:rFonts w:ascii="Times New Roman" w:hAnsi="Times New Roman" w:eastAsia="方正大标宋简体"/>
          <w:bCs/>
          <w:sz w:val="32"/>
          <w:szCs w:val="32"/>
        </w:rPr>
        <w:t>日—2023年</w:t>
      </w:r>
      <w:r>
        <w:rPr>
          <w:rFonts w:hint="eastAsia" w:ascii="Times New Roman" w:hAnsi="Times New Roman" w:eastAsia="方正大标宋简体"/>
          <w:bCs/>
          <w:sz w:val="32"/>
          <w:szCs w:val="32"/>
          <w:lang w:val="en-US" w:eastAsia="zh-CN"/>
        </w:rPr>
        <w:t>10</w:t>
      </w:r>
      <w:r>
        <w:rPr>
          <w:rFonts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19</w:t>
      </w:r>
      <w:r>
        <w:rPr>
          <w:rFonts w:ascii="Times New Roman" w:hAnsi="Times New Roman" w:eastAsia="方正大标宋简体"/>
          <w:bCs/>
          <w:sz w:val="32"/>
          <w:szCs w:val="32"/>
        </w:rPr>
        <w:t>日）</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本周国际部共对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pacing w:line="560" w:lineRule="exact"/>
        <w:ind w:firstLine="640" w:firstLineChars="200"/>
        <w:rPr>
          <w:rFonts w:hint="eastAsia" w:ascii="Times New Roman" w:hAnsi="Times New Roman" w:eastAsia="方正黑体_GBK"/>
          <w:sz w:val="32"/>
          <w:szCs w:val="32"/>
          <w:lang w:val="en-US" w:eastAsia="zh-CN"/>
        </w:rPr>
      </w:pPr>
      <w:r>
        <w:rPr>
          <w:rFonts w:hint="eastAsia" w:ascii="Times New Roman" w:hAnsi="Times New Roman" w:eastAsia="方正黑体_GBK"/>
          <w:sz w:val="32"/>
          <w:szCs w:val="32"/>
          <w:lang w:val="en-US" w:eastAsia="zh-CN"/>
        </w:rPr>
        <w:t>路特斯科技（秘交转公开）</w:t>
      </w:r>
    </w:p>
    <w:p>
      <w:pPr>
        <w:ind w:firstLine="640" w:firstLineChars="200"/>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rPr>
        <w:t>请你公司补充说明以下事项，请律师核查并出具明确的法律意见</w:t>
      </w:r>
      <w:r>
        <w:rPr>
          <w:rFonts w:hint="eastAsia" w:ascii="CESI仿宋-GB2312" w:hAnsi="CESI仿宋-GB2312" w:eastAsia="CESI仿宋-GB2312" w:cs="CESI仿宋-GB2312"/>
          <w:sz w:val="32"/>
          <w:szCs w:val="32"/>
          <w:lang w:eastAsia="zh-CN"/>
        </w:rPr>
        <w:t>：</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一、</w:t>
      </w:r>
      <w:r>
        <w:rPr>
          <w:rFonts w:hint="default" w:ascii="Times New Roman" w:hAnsi="Times New Roman" w:eastAsia="CESI仿宋-GB2312"/>
          <w:sz w:val="32"/>
          <w:szCs w:val="32"/>
          <w:lang w:val="en-US" w:eastAsia="zh-CN"/>
        </w:rPr>
        <w:t>关于股权架构情况，请说明你公司股权架构设立的合规性，包括搭建及返程并购涉及的外汇管理、境外投资等监管程序履行情况、税费依法缴纳情况等，并说明2021年9月至12月增资及收购武汉路特斯股权的定价依据及公允性和税费依法缴纳情况，以及是否履行《外商投资信息报告办法》规定的报告义务。</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二、</w:t>
      </w:r>
      <w:r>
        <w:rPr>
          <w:rFonts w:hint="default" w:ascii="Times New Roman" w:hAnsi="Times New Roman" w:eastAsia="CESI仿宋-GB2312"/>
          <w:sz w:val="32"/>
          <w:szCs w:val="32"/>
          <w:lang w:val="en-US" w:eastAsia="zh-CN"/>
        </w:rPr>
        <w:t>关于股东信息，（1）你公司目前已确定的可转债转股对象完成转股后持股比例将超过5%，请说明该名股东信息；（2）实际控制人李书福与其他四个由自然人控制的持股平台签有一致行动协议，请说明控制上述四个持股平台自然人的具体情况；（3）你公司第二大股东为ETIKA AUTOMOTIVE SDN.BHD.，该股东由境外自然人控股，请说明上述境外自然人的背景信息。</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三、</w:t>
      </w:r>
      <w:r>
        <w:rPr>
          <w:rFonts w:hint="default" w:ascii="Times New Roman" w:hAnsi="Times New Roman" w:eastAsia="CESI仿宋-GB2312"/>
          <w:sz w:val="32"/>
          <w:szCs w:val="32"/>
          <w:lang w:val="en-US" w:eastAsia="zh-CN"/>
        </w:rPr>
        <w:t>关于经营独立性，请说明你公司相关资产业务自吉利集团重组分拆的简要过程，并结合报告期内与吉利集团发生的经营性关联交易类型、占比及定价依据，说明你公司资产、业务、人员的独立性。</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四、</w:t>
      </w:r>
      <w:r>
        <w:rPr>
          <w:rFonts w:hint="default" w:ascii="Times New Roman" w:hAnsi="Times New Roman" w:eastAsia="CESI仿宋-GB2312"/>
          <w:sz w:val="32"/>
          <w:szCs w:val="32"/>
          <w:lang w:val="en-US" w:eastAsia="zh-CN"/>
        </w:rPr>
        <w:t>关于分拆上市，请说明李书福及吉利集团所控制资产或业务分拆上市的主要考虑、分拆原则和整体安排，各（拟）分拆业务板块的经营独立性，并说明（拟）分拆的业务板块名称、（计划）上市地和上市时间、目前所处阶段（例如，已筹划、正在搭建或者已搭建上市主体架构、已提交上市申请或签署重组上市协议、已完成分拆上市等阶段）。</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五、</w:t>
      </w:r>
      <w:r>
        <w:rPr>
          <w:rFonts w:hint="default" w:ascii="Times New Roman" w:hAnsi="Times New Roman" w:eastAsia="CESI仿宋-GB2312"/>
          <w:sz w:val="32"/>
          <w:szCs w:val="32"/>
          <w:lang w:val="en-US" w:eastAsia="zh-CN"/>
        </w:rPr>
        <w:t>关于股权激励计划，你公司已制定并部分实施的股权激励计划中，已确定激励对象包括1名外部顾问和14名关联公司员工，请说明股权激励计划的合法合规性，预留权益的授予对象范围，以及授予关联公司员工股份的数量、原因和相关关联公司情况；并请说明授予外部顾问股份的数量，以及是否存在利益输送情形。</w:t>
      </w:r>
    </w:p>
    <w:p>
      <w:pPr>
        <w:spacing w:line="560" w:lineRule="exact"/>
        <w:ind w:firstLine="640" w:firstLineChars="200"/>
        <w:rPr>
          <w:rFonts w:hint="default" w:ascii="Times New Roman" w:hAnsi="Times New Roman" w:eastAsia="CESI仿宋-GB2312"/>
          <w:sz w:val="32"/>
          <w:szCs w:val="32"/>
          <w:lang w:val="en" w:eastAsia="zh-CN"/>
        </w:rPr>
      </w:pPr>
      <w:r>
        <w:rPr>
          <w:rFonts w:hint="eastAsia" w:ascii="Times New Roman" w:hAnsi="Times New Roman" w:eastAsia="方正黑体_GBK"/>
          <w:sz w:val="32"/>
          <w:szCs w:val="32"/>
          <w:lang w:val="en-US" w:eastAsia="zh-CN"/>
        </w:rPr>
        <w:t>汽车街</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请你公司补充说明以下事项，请律师核查并出具明确的法律意见：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一、</w:t>
      </w:r>
      <w:r>
        <w:rPr>
          <w:rFonts w:hint="default" w:ascii="Times New Roman" w:hAnsi="Times New Roman" w:eastAsia="CESI仿宋-GB2312"/>
          <w:sz w:val="32"/>
          <w:szCs w:val="32"/>
          <w:lang w:val="en-US" w:eastAsia="zh-CN"/>
        </w:rPr>
        <w:t>请说明主要境内运营实体上海信宝博通电子商务有限公司注册资本未缴足的原因及合规性，是否对公司业务运营和偿债能力造成重大影响。</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二、</w:t>
      </w:r>
      <w:r>
        <w:rPr>
          <w:rFonts w:hint="default" w:ascii="Times New Roman" w:hAnsi="Times New Roman" w:eastAsia="CESI仿宋-GB2312"/>
          <w:sz w:val="32"/>
          <w:szCs w:val="32"/>
          <w:lang w:val="en-US" w:eastAsia="zh-CN"/>
        </w:rPr>
        <w:t>关于股权架构：（1）关于境外搭建离岸架构和返程投资涉及的外汇登记、境外投资、外商投资等监管程序方面合规性的结论性意见；（2）请说明取得上海信宝博通电子商务有限公司和上海澍勋电子商务有限公司股权的作价依据及公允性和税务处理合规性情况，是否符合《关于外国投资者并购境内企业的规定》。</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CESI仿宋-GB2312"/>
          <w:sz w:val="32"/>
          <w:szCs w:val="32"/>
          <w:lang w:val="en-US" w:eastAsia="zh-CN"/>
        </w:rPr>
        <w:t>三、</w:t>
      </w:r>
      <w:r>
        <w:rPr>
          <w:rFonts w:hint="default" w:ascii="Times New Roman" w:hAnsi="Times New Roman" w:eastAsia="CESI仿宋-GB2312"/>
          <w:sz w:val="32"/>
          <w:szCs w:val="32"/>
          <w:lang w:val="en-US" w:eastAsia="zh-CN"/>
        </w:rPr>
        <w:t>请说明2023年6月新增股东入股价格仅0.00001美元/股的定价依据及合理性。</w:t>
      </w:r>
    </w:p>
    <w:p>
      <w:pPr>
        <w:spacing w:line="560" w:lineRule="exact"/>
        <w:ind w:firstLine="640" w:firstLineChars="200"/>
        <w:rPr>
          <w:rFonts w:hint="default" w:ascii="Times New Roman" w:hAnsi="Times New Roman" w:eastAsia="CESI仿宋-GB2312"/>
          <w:sz w:val="32"/>
          <w:szCs w:val="32"/>
          <w:lang w:val="en-US" w:eastAsia="zh-CN"/>
        </w:rPr>
      </w:pPr>
      <w:r>
        <w:rPr>
          <w:rFonts w:hint="eastAsia" w:ascii="Times New Roman" w:hAnsi="Times New Roman" w:eastAsia="方正黑体_GBK"/>
          <w:sz w:val="32"/>
          <w:szCs w:val="32"/>
          <w:lang w:val="en-US" w:eastAsia="zh-CN"/>
        </w:rPr>
        <w:t>趣致集团</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请你公司就以下事项补充说明，请律师进行核查并出具明确的法律意见：</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一、关于股权架构，请说明：（1）返程并购的合规性，包括但不限于Quna HK收购赛富创投、赛富投资股权涉及的外汇管理、外商投资、税费缴纳等监管程序履行情况；（2）上海趣致减资的原因、定价依据及税费缴纳情况，以及调整减资对价的内部决策及合规程序履行情况；（3）境内子公司浙江趣享网络科技有限公司（以下简称</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浙江趣享</w:t>
      </w:r>
      <w:r>
        <w:rPr>
          <w:rFonts w:hint="eastAsia" w:ascii="Times New Roman" w:hAnsi="Times New Roman" w:eastAsia="CESI仿宋-GB2312"/>
          <w:sz w:val="32"/>
          <w:szCs w:val="32"/>
          <w:lang w:val="en-US" w:eastAsia="zh-CN"/>
        </w:rPr>
        <w:t>”</w:t>
      </w:r>
      <w:r>
        <w:rPr>
          <w:rFonts w:hint="default" w:ascii="Times New Roman" w:hAnsi="Times New Roman" w:eastAsia="CESI仿宋-GB2312"/>
          <w:sz w:val="32"/>
          <w:szCs w:val="32"/>
          <w:lang w:val="en-US" w:eastAsia="zh-CN"/>
        </w:rPr>
        <w:t>）、海南趣致网络科技有限公司（以下简称“海南趣致”）业务经营情况；（4）境内运营实体上海趣致的子公司上海趣至网络科技有限公司、知驱（上海）科技有限公司、上海趣选电子商务有限公司、上海趣乐多信息技术咨询有限责任公司、上海云上美集网络科技有限公司等是否为主要控股子公司，请对照《监管规则适用指引——境外发行上市第2号》说明标准依据。</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二、关于股权变动，请说明：（1）最近一年新增股东爱两山（天津）企业管理合伙企业境外投资履行情况；（2）殷钰辉将上海趣致股权无偿赠予Lau,Siu Ying，殷钰辉等股东将上海趣致股权零对价转让给上海益趣、赛富创投以及上海趣致第五次股权转让的定价依据、合理性及税费缴纳情况；（3）赛富创投、赛富投资持有主要境内运营实体上海趣致股权但未在发行人层面持股的原因，相关安排是否存在股权代持，并说明可能导致的股权纠纷、控制权稳定风险及应对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三、关于股份代持，请说明殷钰辉、上海长鹰、于川等人代持股份的形成原因、演变情况、合法合规性、是否存在纠纷或潜在纠纷、是否存在法律法规禁止持股的主体直接或间接持股等情形。</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r>
        <w:rPr>
          <w:rFonts w:hint="default" w:ascii="Times New Roman" w:hAnsi="Times New Roman" w:eastAsia="CESI仿宋-GB2312"/>
          <w:sz w:val="32"/>
          <w:szCs w:val="32"/>
          <w:lang w:val="en-US" w:eastAsia="zh-CN"/>
        </w:rPr>
        <w:t>四、关于规范运作，请说明境内运营实体及子公司运营的APP、小程序、公众号、智能终端等产品情况，涉及的收集及储存个人信息规模、个人信息收集使用情况，是否存在向境外传输数据或向第三方提供个人信息的情形，并说明上市前后信息数据保护的安排或措施。</w:t>
      </w: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p>
    <w:p>
      <w:pPr>
        <w:numPr>
          <w:ilvl w:val="0"/>
          <w:numId w:val="0"/>
        </w:numPr>
        <w:spacing w:line="560" w:lineRule="exact"/>
        <w:ind w:firstLine="640" w:firstLineChars="200"/>
        <w:rPr>
          <w:rFonts w:hint="default" w:ascii="Times New Roman" w:hAnsi="Times New Roman" w:eastAsia="CESI仿宋-GB2312"/>
          <w:sz w:val="32"/>
          <w:szCs w:val="32"/>
          <w:lang w:val="en-US" w:eastAsia="zh-CN"/>
        </w:rPr>
      </w:pPr>
    </w:p>
    <w:p>
      <w:pPr>
        <w:numPr>
          <w:ilvl w:val="0"/>
          <w:numId w:val="0"/>
        </w:numPr>
        <w:spacing w:line="560" w:lineRule="exact"/>
        <w:rPr>
          <w:rFonts w:hint="default" w:ascii="Times New Roman" w:hAnsi="Times New Roman" w:eastAsia="CESI仿宋-GB2312"/>
          <w:sz w:val="32"/>
          <w:szCs w:val="32"/>
          <w:lang w:val="en-US" w:eastAsia="zh-CN"/>
        </w:rPr>
      </w:pPr>
    </w:p>
    <w:p>
      <w:pPr>
        <w:numPr>
          <w:ilvl w:val="0"/>
          <w:numId w:val="0"/>
        </w:numPr>
        <w:spacing w:line="560" w:lineRule="exact"/>
        <w:rPr>
          <w:rFonts w:hint="default" w:ascii="Times New Roman" w:hAnsi="Times New Roman" w:eastAsia="CESI仿宋-GB2312"/>
          <w:sz w:val="32"/>
          <w:szCs w:val="32"/>
          <w:lang w:val="en-US" w:eastAsia="zh-CN"/>
        </w:rPr>
      </w:pPr>
    </w:p>
    <w:p>
      <w:pPr>
        <w:numPr>
          <w:ilvl w:val="0"/>
          <w:numId w:val="0"/>
        </w:numPr>
        <w:spacing w:line="560" w:lineRule="exact"/>
        <w:rPr>
          <w:rFonts w:hint="default" w:ascii="Times New Roman" w:hAnsi="Times New Roman" w:eastAsia="CESI仿宋-GB2312"/>
          <w:sz w:val="32"/>
          <w:szCs w:val="32"/>
          <w:lang w:val="en-US" w:eastAsia="zh-CN"/>
        </w:rPr>
      </w:pPr>
    </w:p>
    <w:p>
      <w:pPr>
        <w:numPr>
          <w:ilvl w:val="0"/>
          <w:numId w:val="0"/>
        </w:numPr>
        <w:spacing w:line="560" w:lineRule="exact"/>
        <w:rPr>
          <w:rFonts w:hint="default" w:ascii="Times New Roman" w:hAnsi="Times New Roman" w:eastAsia="CESI仿宋-GB2312"/>
          <w:sz w:val="32"/>
          <w:szCs w:val="32"/>
          <w:lang w:val="en-US" w:eastAsia="zh-CN"/>
        </w:rPr>
      </w:pPr>
    </w:p>
    <w:bookmarkEnd w:id="0"/>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BB50C8D"/>
    <w:rsid w:val="2CBF98A1"/>
    <w:rsid w:val="37FFA508"/>
    <w:rsid w:val="4F67EC1C"/>
    <w:rsid w:val="5FBAC526"/>
    <w:rsid w:val="67FDA652"/>
    <w:rsid w:val="6FB7BF97"/>
    <w:rsid w:val="6FBFA923"/>
    <w:rsid w:val="6FFD88D1"/>
    <w:rsid w:val="73BE761E"/>
    <w:rsid w:val="7CBF9F3A"/>
    <w:rsid w:val="7D9C3C57"/>
    <w:rsid w:val="7EB8C5C1"/>
    <w:rsid w:val="9B339AF2"/>
    <w:rsid w:val="B379C565"/>
    <w:rsid w:val="B3EECBF7"/>
    <w:rsid w:val="B3EF337F"/>
    <w:rsid w:val="BB1E9A4F"/>
    <w:rsid w:val="BFA631D0"/>
    <w:rsid w:val="CDFAF5B4"/>
    <w:rsid w:val="DDE7B892"/>
    <w:rsid w:val="EBDF893F"/>
    <w:rsid w:val="F3FBBB12"/>
    <w:rsid w:val="F3FF76A6"/>
    <w:rsid w:val="F66FFFBE"/>
    <w:rsid w:val="FBEADAD9"/>
    <w:rsid w:val="FEF445FD"/>
    <w:rsid w:val="FFF5A8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2023-09-29T09:34:00Z</dcterms:created>
  <dc:creator>csrc</dc:creator>
  <cp:lastModifiedBy>csrc</cp:lastModifiedBy>
  <dcterms:modified xsi:type="dcterms:W3CDTF">2023-10-20T14:51:46Z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