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560" w:lineRule="exact"/>
        <w:ind w:left="0" w:leftChars="0" w:firstLine="0" w:firstLineChars="0"/>
        <w:jc w:val="center"/>
        <w:rPr>
          <w:rFonts w:ascii="Times New Roman" w:hAnsi="Times New Roman" w:eastAsia="方正大标宋简体"/>
          <w:bCs/>
          <w:sz w:val="36"/>
          <w:szCs w:val="36"/>
        </w:rPr>
      </w:pPr>
      <w:r>
        <w:rPr>
          <w:rFonts w:ascii="Times New Roman" w:hAnsi="Times New Roman" w:eastAsia="方正大标宋简体"/>
          <w:bCs/>
          <w:sz w:val="36"/>
          <w:szCs w:val="36"/>
        </w:rPr>
        <w:t>境外发行上市备案补充材料要求</w:t>
      </w:r>
    </w:p>
    <w:p>
      <w:pPr>
        <w:spacing w:line="560" w:lineRule="exact"/>
        <w:ind w:left="0" w:leftChars="0" w:firstLine="0" w:firstLineChars="0"/>
        <w:jc w:val="center"/>
        <w:rPr>
          <w:rFonts w:ascii="Times New Roman" w:hAnsi="Times New Roman" w:eastAsia="方正大标宋简体"/>
          <w:bCs/>
          <w:sz w:val="32"/>
          <w:szCs w:val="32"/>
        </w:rPr>
      </w:pPr>
      <w:r>
        <w:rPr>
          <w:rFonts w:ascii="Times New Roman" w:hAnsi="Times New Roman" w:eastAsia="方正大标宋简体"/>
          <w:bCs/>
          <w:sz w:val="32"/>
          <w:szCs w:val="32"/>
        </w:rPr>
        <w:t>（2023年</w:t>
      </w:r>
      <w:r>
        <w:rPr>
          <w:rFonts w:hint="eastAsia" w:ascii="Times New Roman" w:hAnsi="Times New Roman" w:eastAsia="方正大标宋简体"/>
          <w:bCs/>
          <w:sz w:val="32"/>
          <w:szCs w:val="32"/>
          <w:lang w:val="en-US" w:eastAsia="zh-CN"/>
        </w:rPr>
        <w:t>11</w:t>
      </w:r>
      <w:r>
        <w:rPr>
          <w:rFonts w:ascii="Times New Roman" w:hAnsi="Times New Roman" w:eastAsia="方正大标宋简体"/>
          <w:bCs/>
          <w:sz w:val="32"/>
          <w:szCs w:val="32"/>
        </w:rPr>
        <w:t>月</w:t>
      </w:r>
      <w:r>
        <w:rPr>
          <w:rFonts w:hint="eastAsia" w:ascii="Times New Roman" w:hAnsi="Times New Roman" w:eastAsia="方正大标宋简体"/>
          <w:bCs/>
          <w:sz w:val="32"/>
          <w:szCs w:val="32"/>
          <w:lang w:val="en-US" w:eastAsia="zh-CN"/>
        </w:rPr>
        <w:t>3</w:t>
      </w:r>
      <w:r>
        <w:rPr>
          <w:rFonts w:ascii="Times New Roman" w:hAnsi="Times New Roman" w:eastAsia="方正大标宋简体"/>
          <w:bCs/>
          <w:sz w:val="32"/>
          <w:szCs w:val="32"/>
        </w:rPr>
        <w:t>日—2023年</w:t>
      </w:r>
      <w:r>
        <w:rPr>
          <w:rFonts w:hint="eastAsia" w:ascii="Times New Roman" w:hAnsi="Times New Roman" w:eastAsia="方正大标宋简体"/>
          <w:bCs/>
          <w:sz w:val="32"/>
          <w:szCs w:val="32"/>
          <w:lang w:val="en-US" w:eastAsia="zh-CN"/>
        </w:rPr>
        <w:t>11</w:t>
      </w:r>
      <w:r>
        <w:rPr>
          <w:rFonts w:ascii="Times New Roman" w:hAnsi="Times New Roman" w:eastAsia="方正大标宋简体"/>
          <w:bCs/>
          <w:sz w:val="32"/>
          <w:szCs w:val="32"/>
        </w:rPr>
        <w:t>月</w:t>
      </w:r>
      <w:r>
        <w:rPr>
          <w:rFonts w:hint="eastAsia" w:ascii="Times New Roman" w:hAnsi="Times New Roman" w:eastAsia="方正大标宋简体"/>
          <w:bCs/>
          <w:sz w:val="32"/>
          <w:szCs w:val="32"/>
          <w:lang w:val="en-US" w:eastAsia="zh-CN"/>
        </w:rPr>
        <w:t>9</w:t>
      </w:r>
      <w:r>
        <w:rPr>
          <w:rFonts w:ascii="Times New Roman" w:hAnsi="Times New Roman" w:eastAsia="方正大标宋简体"/>
          <w:bCs/>
          <w:sz w:val="32"/>
          <w:szCs w:val="32"/>
        </w:rPr>
        <w:t>日）</w:t>
      </w:r>
    </w:p>
    <w:p>
      <w:pPr>
        <w:spacing w:line="560" w:lineRule="exact"/>
        <w:ind w:firstLine="560" w:firstLineChars="200"/>
        <w:jc w:val="center"/>
        <w:rPr>
          <w:rFonts w:ascii="Times New Roman" w:hAnsi="Times New Roman" w:eastAsia="sysfST"/>
          <w:b/>
          <w:sz w:val="28"/>
          <w:szCs w:val="28"/>
        </w:rPr>
      </w:pPr>
    </w:p>
    <w:p>
      <w:pPr>
        <w:spacing w:line="560" w:lineRule="exact"/>
        <w:ind w:firstLine="640" w:firstLineChars="200"/>
        <w:rPr>
          <w:rFonts w:hint="eastAsia" w:ascii="Times New Roman" w:hAnsi="Times New Roman" w:eastAsia="仿宋_GB2312"/>
          <w:sz w:val="32"/>
          <w:szCs w:val="32"/>
          <w:lang w:eastAsia="zh-CN"/>
        </w:rPr>
      </w:pPr>
      <w:r>
        <w:rPr>
          <w:rFonts w:ascii="Times New Roman" w:hAnsi="Times New Roman" w:eastAsia="仿宋_GB2312"/>
          <w:sz w:val="32"/>
          <w:szCs w:val="32"/>
        </w:rPr>
        <w:t>本周国际部共对</w:t>
      </w:r>
      <w:r>
        <w:rPr>
          <w:rFonts w:hint="eastAsia" w:ascii="Times New Roman" w:hAnsi="Times New Roman" w:eastAsia="仿宋_GB2312"/>
          <w:sz w:val="32"/>
          <w:szCs w:val="32"/>
          <w:highlight w:val="none"/>
          <w:lang w:val="en-US" w:eastAsia="zh-CN"/>
        </w:rPr>
        <w:t>3家</w:t>
      </w:r>
      <w:r>
        <w:rPr>
          <w:rFonts w:ascii="Times New Roman" w:hAnsi="Times New Roman" w:eastAsia="仿宋_GB2312"/>
          <w:sz w:val="32"/>
          <w:szCs w:val="32"/>
        </w:rPr>
        <w:t>企业出具补充材料要求</w:t>
      </w:r>
      <w:r>
        <w:rPr>
          <w:rFonts w:hint="eastAsia" w:ascii="Times New Roman" w:hAnsi="Times New Roman" w:eastAsia="仿宋_GB2312"/>
          <w:sz w:val="32"/>
          <w:szCs w:val="32"/>
          <w:lang w:eastAsia="zh-CN"/>
        </w:rPr>
        <w:t>，</w:t>
      </w:r>
      <w:r>
        <w:rPr>
          <w:rFonts w:ascii="Times New Roman" w:hAnsi="Times New Roman" w:eastAsia="仿宋_GB2312"/>
          <w:sz w:val="32"/>
          <w:szCs w:val="32"/>
        </w:rPr>
        <w:t>具体如下</w:t>
      </w:r>
      <w:r>
        <w:rPr>
          <w:rFonts w:hint="eastAsia" w:ascii="Times New Roman" w:hAnsi="Times New Roman" w:eastAsia="仿宋_GB2312"/>
          <w:sz w:val="32"/>
          <w:szCs w:val="32"/>
          <w:lang w:eastAsia="zh-CN"/>
        </w:rPr>
        <w:t>：</w:t>
      </w:r>
    </w:p>
    <w:p>
      <w:pPr>
        <w:spacing w:line="560" w:lineRule="exact"/>
        <w:ind w:firstLine="640" w:firstLineChars="200"/>
        <w:rPr>
          <w:rFonts w:hint="default" w:ascii="Times New Roman" w:hAnsi="Times New Roman" w:eastAsia="方正黑体_GBK"/>
          <w:sz w:val="32"/>
          <w:szCs w:val="32"/>
          <w:lang w:val="en-US" w:eastAsia="zh-CN"/>
        </w:rPr>
      </w:pPr>
      <w:r>
        <w:rPr>
          <w:rFonts w:hint="eastAsia" w:ascii="Times New Roman" w:hAnsi="Times New Roman" w:eastAsia="方正黑体_GBK"/>
          <w:sz w:val="32"/>
          <w:szCs w:val="32"/>
          <w:lang w:val="en-US" w:eastAsia="zh-CN"/>
        </w:rPr>
        <w:t>梦金园</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CESI仿宋-GB13000" w:hAnsi="CESI仿宋-GB13000" w:eastAsia="CESI仿宋-GB13000" w:cs="CESI仿宋-GB13000"/>
          <w:sz w:val="32"/>
          <w:szCs w:val="32"/>
          <w:lang w:val="en-US" w:eastAsia="zh-CN"/>
        </w:rPr>
      </w:pPr>
      <w:r>
        <w:rPr>
          <w:rFonts w:hint="eastAsia" w:ascii="CESI仿宋-GB13000" w:hAnsi="CESI仿宋-GB13000" w:eastAsia="CESI仿宋-GB13000" w:cs="CESI仿宋-GB13000"/>
          <w:sz w:val="32"/>
          <w:szCs w:val="32"/>
          <w:lang w:val="en-US" w:eastAsia="zh-CN"/>
        </w:rPr>
        <w:t>请你公司补充说明以下事项，请律师核查并出具明确的法律意见：</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CESI仿宋-GB13000" w:hAnsi="CESI仿宋-GB13000" w:eastAsia="CESI仿宋-GB13000" w:cs="CESI仿宋-GB13000"/>
          <w:sz w:val="32"/>
          <w:szCs w:val="32"/>
          <w:lang w:val="en-US" w:eastAsia="zh-CN"/>
        </w:rPr>
      </w:pPr>
      <w:r>
        <w:rPr>
          <w:rFonts w:hint="eastAsia" w:ascii="CESI仿宋-GB13000" w:hAnsi="CESI仿宋-GB13000" w:eastAsia="CESI仿宋-GB13000" w:cs="CESI仿宋-GB13000"/>
          <w:sz w:val="32"/>
          <w:szCs w:val="32"/>
          <w:lang w:val="en-US" w:eastAsia="zh-CN"/>
        </w:rPr>
        <w:t>一、关于员工持股计划，说明各员工持股平台出资结构、各出资人在你公司及子公司的任职情况，并说明员工入股、退股、股权转让是否符合有关规定、履行有关程序，是否存在争议或纠纷；若存在，是否对本次发行构成障碍。</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CESI仿宋-GB13000" w:hAnsi="CESI仿宋-GB13000" w:eastAsia="CESI仿宋-GB13000" w:cs="CESI仿宋-GB13000"/>
          <w:sz w:val="32"/>
          <w:szCs w:val="32"/>
          <w:lang w:val="en-US" w:eastAsia="zh-CN"/>
        </w:rPr>
      </w:pPr>
      <w:r>
        <w:rPr>
          <w:rFonts w:hint="eastAsia" w:ascii="CESI仿宋-GB13000" w:hAnsi="CESI仿宋-GB13000" w:eastAsia="CESI仿宋-GB13000" w:cs="CESI仿宋-GB13000"/>
          <w:sz w:val="32"/>
          <w:szCs w:val="32"/>
          <w:lang w:val="en-US" w:eastAsia="zh-CN"/>
        </w:rPr>
        <w:t>二、关于股本变化，请说明：</w:t>
      </w:r>
      <w:r>
        <w:rPr>
          <w:rFonts w:hint="eastAsia" w:ascii="Times New Roman" w:hAnsi="Times New Roman" w:eastAsia="CESI仿宋-GB2312" w:cs="Times New Roman"/>
          <w:sz w:val="32"/>
          <w:szCs w:val="32"/>
          <w:lang w:val="en-US" w:eastAsia="zh-CN"/>
        </w:rPr>
        <w:t>（</w:t>
      </w:r>
      <w:r>
        <w:rPr>
          <w:rFonts w:hint="eastAsia" w:ascii="Times New Roman" w:hAnsi="Times New Roman" w:eastAsia="CESI仿宋-GB2312" w:cs="Times New Roman"/>
          <w:sz w:val="32"/>
          <w:szCs w:val="32"/>
          <w:lang w:val="en-US" w:eastAsia="zh-CN"/>
        </w:rPr>
        <w:t>1）你公司股东黄怡、赵笃学、张建军、张义贞以</w:t>
      </w:r>
      <w:bookmarkStart w:id="0" w:name="_GoBack"/>
      <w:bookmarkEnd w:id="0"/>
      <w:r>
        <w:rPr>
          <w:rFonts w:hint="eastAsia" w:ascii="Times New Roman" w:hAnsi="Times New Roman" w:eastAsia="CESI仿宋-GB2312" w:cs="Times New Roman"/>
          <w:sz w:val="32"/>
          <w:szCs w:val="32"/>
          <w:lang w:val="en-US" w:eastAsia="zh-CN"/>
        </w:rPr>
        <w:t>及中信证券投资有限公司入股原因，增资、股权转让的定价及依据，是否存</w:t>
      </w:r>
      <w:r>
        <w:rPr>
          <w:rFonts w:hint="eastAsia" w:ascii="CESI仿宋-GB13000" w:hAnsi="CESI仿宋-GB13000" w:eastAsia="CESI仿宋-GB13000" w:cs="CESI仿宋-GB13000"/>
          <w:sz w:val="32"/>
          <w:szCs w:val="32"/>
          <w:lang w:val="en-US" w:eastAsia="zh-CN"/>
        </w:rPr>
        <w:t>在利益输送行为，并请律师就上述股东入股合法性及合规性出具明确结论性意见；</w:t>
      </w:r>
      <w:r>
        <w:rPr>
          <w:rFonts w:hint="eastAsia" w:ascii="Times New Roman" w:hAnsi="Times New Roman" w:eastAsia="CESI仿宋-GB2312" w:cs="Times New Roman"/>
          <w:sz w:val="32"/>
          <w:szCs w:val="32"/>
          <w:lang w:val="en-US" w:eastAsia="zh-CN"/>
        </w:rPr>
        <w:t>（2）请你</w:t>
      </w:r>
      <w:r>
        <w:rPr>
          <w:rFonts w:hint="eastAsia" w:ascii="CESI仿宋-GB13000" w:hAnsi="CESI仿宋-GB13000" w:eastAsia="CESI仿宋-GB13000" w:cs="CESI仿宋-GB13000"/>
          <w:sz w:val="32"/>
          <w:szCs w:val="32"/>
          <w:lang w:val="en-US" w:eastAsia="zh-CN"/>
        </w:rPr>
        <w:t>公司律师针对公司设立及历次股权变动情况的合法性及合规性出具总体结论性法律意见。</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CESI仿宋-GB13000" w:hAnsi="CESI仿宋-GB13000" w:eastAsia="CESI仿宋-GB13000" w:cs="CESI仿宋-GB13000"/>
          <w:sz w:val="32"/>
          <w:szCs w:val="32"/>
          <w:lang w:val="en-US" w:eastAsia="zh-CN"/>
        </w:rPr>
      </w:pPr>
      <w:r>
        <w:rPr>
          <w:rFonts w:hint="eastAsia" w:ascii="CESI仿宋-GB13000" w:hAnsi="CESI仿宋-GB13000" w:eastAsia="CESI仿宋-GB13000" w:cs="CESI仿宋-GB13000"/>
          <w:sz w:val="32"/>
          <w:szCs w:val="32"/>
          <w:lang w:val="en-US" w:eastAsia="zh-CN"/>
        </w:rPr>
        <w:t>三、关于业务经营持续性及合规性，请补充说明：</w:t>
      </w:r>
      <w:r>
        <w:rPr>
          <w:rFonts w:hint="eastAsia" w:ascii="Times New Roman" w:hAnsi="Times New Roman" w:eastAsia="CESI仿宋-GB2312" w:cs="Times New Roman"/>
          <w:sz w:val="32"/>
          <w:szCs w:val="32"/>
          <w:lang w:val="en-US" w:eastAsia="zh-CN"/>
        </w:rPr>
        <w:t>（1）</w:t>
      </w:r>
      <w:r>
        <w:rPr>
          <w:rFonts w:hint="eastAsia" w:ascii="CESI仿宋-GB13000" w:hAnsi="CESI仿宋-GB13000" w:eastAsia="CESI仿宋-GB13000" w:cs="CESI仿宋-GB13000"/>
          <w:sz w:val="32"/>
          <w:szCs w:val="32"/>
          <w:lang w:val="en-US" w:eastAsia="zh-CN"/>
        </w:rPr>
        <w:t>你公司单笔合同金额</w:t>
      </w:r>
      <w:r>
        <w:rPr>
          <w:rFonts w:hint="eastAsia" w:ascii="Times New Roman" w:hAnsi="Times New Roman" w:eastAsia="CESI仿宋-GB2312" w:cs="Times New Roman"/>
          <w:sz w:val="32"/>
          <w:szCs w:val="32"/>
          <w:lang w:val="en-US" w:eastAsia="zh-CN"/>
        </w:rPr>
        <w:t>在1000万元</w:t>
      </w:r>
      <w:r>
        <w:rPr>
          <w:rFonts w:hint="eastAsia" w:ascii="CESI仿宋-GB13000" w:hAnsi="CESI仿宋-GB13000" w:eastAsia="CESI仿宋-GB13000" w:cs="CESI仿宋-GB13000"/>
          <w:sz w:val="32"/>
          <w:szCs w:val="32"/>
          <w:lang w:val="en-US" w:eastAsia="zh-CN"/>
        </w:rPr>
        <w:t>以上的银行借款合同履行期较为集中，请评估公司偿债能力及上述借款合同对你公司持续经营产生的影响；</w:t>
      </w:r>
      <w:r>
        <w:rPr>
          <w:rFonts w:hint="eastAsia" w:ascii="Times New Roman" w:hAnsi="Times New Roman" w:eastAsia="CESI仿宋-GB2312" w:cs="Times New Roman"/>
          <w:sz w:val="32"/>
          <w:szCs w:val="32"/>
          <w:lang w:val="en-US" w:eastAsia="zh-CN"/>
        </w:rPr>
        <w:t>（</w:t>
      </w:r>
      <w:r>
        <w:rPr>
          <w:rFonts w:hint="eastAsia" w:ascii="Times New Roman" w:hAnsi="Times New Roman" w:eastAsia="CESI仿宋-GB2312" w:cs="Times New Roman"/>
          <w:sz w:val="32"/>
          <w:szCs w:val="32"/>
          <w:lang w:val="en-US" w:eastAsia="zh-CN"/>
        </w:rPr>
        <w:t>2）</w:t>
      </w:r>
      <w:r>
        <w:rPr>
          <w:rFonts w:hint="eastAsia" w:ascii="CESI仿宋-GB13000" w:hAnsi="CESI仿宋-GB13000" w:eastAsia="CESI仿宋-GB13000" w:cs="CESI仿宋-GB13000"/>
          <w:sz w:val="32"/>
          <w:szCs w:val="32"/>
          <w:lang w:val="en-US" w:eastAsia="zh-CN"/>
        </w:rPr>
        <w:t>请结合行业可比公司情况，补充说明你公司全资子公司山东梦金园珠宝首饰有限公司黄金租赁合同涉及黄金租赁额度是否符合你公司目前主营业务开展所需水平，对你公司持续经营可能产生的影响；</w:t>
      </w:r>
      <w:r>
        <w:rPr>
          <w:rFonts w:hint="eastAsia" w:ascii="Times New Roman" w:hAnsi="Times New Roman" w:eastAsia="CESI仿宋-GB2312" w:cs="Times New Roman"/>
          <w:sz w:val="32"/>
          <w:szCs w:val="32"/>
          <w:lang w:val="en-US" w:eastAsia="zh-CN"/>
        </w:rPr>
        <w:t>（3）</w:t>
      </w:r>
      <w:r>
        <w:rPr>
          <w:rFonts w:hint="eastAsia" w:ascii="CESI仿宋-GB13000" w:hAnsi="CESI仿宋-GB13000" w:eastAsia="CESI仿宋-GB13000" w:cs="CESI仿宋-GB13000"/>
          <w:sz w:val="32"/>
          <w:szCs w:val="32"/>
          <w:lang w:val="en-US" w:eastAsia="zh-CN"/>
        </w:rPr>
        <w:t>公司治理及合规运作情况。</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CESI仿宋-GB13000" w:hAnsi="CESI仿宋-GB13000" w:eastAsia="CESI仿宋-GB13000" w:cs="CESI仿宋-GB13000"/>
          <w:sz w:val="32"/>
          <w:szCs w:val="32"/>
          <w:lang w:val="en-US" w:eastAsia="zh-CN"/>
        </w:rPr>
      </w:pPr>
      <w:r>
        <w:rPr>
          <w:rFonts w:hint="eastAsia" w:ascii="CESI仿宋-GB13000" w:hAnsi="CESI仿宋-GB13000" w:eastAsia="CESI仿宋-GB13000" w:cs="CESI仿宋-GB13000"/>
          <w:sz w:val="32"/>
          <w:szCs w:val="32"/>
          <w:lang w:val="en-US" w:eastAsia="zh-CN"/>
        </w:rPr>
        <w:t>四、关于全流通，请说明本次申请“全流通”股东所持股份是否存在被质押、冻结或其他有争议的情形，是否按规定予以披露。</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CESI仿宋-GB13000" w:hAnsi="CESI仿宋-GB13000" w:eastAsia="CESI仿宋-GB13000" w:cs="CESI仿宋-GB13000"/>
          <w:sz w:val="32"/>
          <w:szCs w:val="32"/>
          <w:lang w:val="en-US" w:eastAsia="zh-CN"/>
        </w:rPr>
      </w:pPr>
      <w:r>
        <w:rPr>
          <w:rFonts w:hint="eastAsia" w:ascii="CESI仿宋-GB13000" w:hAnsi="CESI仿宋-GB13000" w:eastAsia="CESI仿宋-GB13000" w:cs="CESI仿宋-GB13000"/>
          <w:sz w:val="32"/>
          <w:szCs w:val="32"/>
          <w:lang w:val="en-US" w:eastAsia="zh-CN"/>
        </w:rPr>
        <w:t>五、请结合经营范围说明你公司及子公司是否开展外资准入限制和禁止领域业务。</w:t>
      </w:r>
    </w:p>
    <w:p>
      <w:pPr>
        <w:spacing w:line="560" w:lineRule="exact"/>
        <w:ind w:firstLine="640" w:firstLineChars="200"/>
        <w:rPr>
          <w:rFonts w:hint="eastAsia" w:ascii="Times New Roman" w:hAnsi="Times New Roman" w:eastAsia="方正黑体_GBK"/>
          <w:sz w:val="32"/>
          <w:szCs w:val="32"/>
          <w:lang w:val="en-US" w:eastAsia="zh-CN"/>
        </w:rPr>
      </w:pPr>
      <w:r>
        <w:rPr>
          <w:rFonts w:hint="eastAsia" w:ascii="Times New Roman" w:hAnsi="Times New Roman" w:eastAsia="方正黑体_GBK"/>
          <w:sz w:val="32"/>
          <w:szCs w:val="32"/>
          <w:lang w:val="en-US" w:eastAsia="zh-CN"/>
        </w:rPr>
        <w:t>柏雅国际集团</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CESI仿宋-GB13000" w:hAnsi="CESI仿宋-GB13000" w:eastAsia="CESI仿宋-GB13000" w:cs="CESI仿宋-GB13000"/>
          <w:sz w:val="32"/>
          <w:szCs w:val="32"/>
          <w:lang w:val="en-US" w:eastAsia="zh-CN"/>
        </w:rPr>
      </w:pPr>
      <w:r>
        <w:rPr>
          <w:rFonts w:hint="eastAsia" w:ascii="CESI仿宋-GB13000" w:hAnsi="CESI仿宋-GB13000" w:eastAsia="CESI仿宋-GB13000" w:cs="CESI仿宋-GB13000"/>
          <w:sz w:val="32"/>
          <w:szCs w:val="32"/>
          <w:lang w:val="en-US" w:eastAsia="zh-CN"/>
        </w:rPr>
        <w:t>请你公司就以下事项补充说明，请律师进行核查并出具明确的法律意见：</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Times New Roman" w:hAnsi="Times New Roman" w:eastAsia="CESI仿宋-GB2312" w:cs="Times New Roman"/>
          <w:sz w:val="32"/>
          <w:szCs w:val="32"/>
          <w:lang w:val="en-US" w:eastAsia="zh-CN"/>
        </w:rPr>
      </w:pPr>
      <w:r>
        <w:rPr>
          <w:rFonts w:hint="eastAsia" w:ascii="CESI仿宋-GB13000" w:hAnsi="CESI仿宋-GB13000" w:eastAsia="CESI仿宋-GB13000" w:cs="CESI仿宋-GB13000"/>
          <w:sz w:val="32"/>
          <w:szCs w:val="32"/>
          <w:lang w:val="en-US" w:eastAsia="zh-CN"/>
        </w:rPr>
        <w:t>一、关于股权结构及股权变动情况，请说明：深圳工务园网络</w:t>
      </w:r>
      <w:r>
        <w:rPr>
          <w:rFonts w:hint="eastAsia" w:ascii="Times New Roman" w:hAnsi="Times New Roman" w:eastAsia="CESI仿宋-GB2312" w:cs="Times New Roman"/>
          <w:sz w:val="32"/>
          <w:szCs w:val="32"/>
          <w:lang w:val="en-US" w:eastAsia="zh-CN"/>
        </w:rPr>
        <w:t>2021至2023年期间3次股权转让对价的定价依据、合理性和税费依法缴纳情况。</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CESI仿宋-GB13000" w:hAnsi="CESI仿宋-GB13000" w:eastAsia="CESI仿宋-GB13000" w:cs="CESI仿宋-GB13000"/>
          <w:sz w:val="32"/>
          <w:szCs w:val="32"/>
          <w:lang w:val="en-US" w:eastAsia="zh-CN"/>
        </w:rPr>
      </w:pPr>
      <w:r>
        <w:rPr>
          <w:rFonts w:hint="eastAsia" w:ascii="CESI仿宋-GB13000" w:hAnsi="CESI仿宋-GB13000" w:eastAsia="CESI仿宋-GB13000" w:cs="CESI仿宋-GB13000"/>
          <w:sz w:val="32"/>
          <w:szCs w:val="32"/>
          <w:lang w:val="en-US" w:eastAsia="zh-CN"/>
        </w:rPr>
        <w:t>二、关于参控股公司情况，</w:t>
      </w:r>
      <w:r>
        <w:rPr>
          <w:rFonts w:hint="eastAsia" w:ascii="Times New Roman" w:hAnsi="Times New Roman" w:eastAsia="CESI仿宋-GB2312" w:cs="Times New Roman"/>
          <w:sz w:val="32"/>
          <w:szCs w:val="32"/>
          <w:lang w:val="en-US" w:eastAsia="zh-CN"/>
        </w:rPr>
        <w:t>（</w:t>
      </w:r>
      <w:r>
        <w:rPr>
          <w:rFonts w:hint="eastAsia" w:ascii="Times New Roman" w:hAnsi="Times New Roman" w:eastAsia="CESI仿宋-GB2312" w:cs="Times New Roman"/>
          <w:sz w:val="32"/>
          <w:szCs w:val="32"/>
          <w:lang w:val="en-US" w:eastAsia="zh-CN"/>
        </w:rPr>
        <w:t>1）</w:t>
      </w:r>
      <w:r>
        <w:rPr>
          <w:rFonts w:hint="eastAsia" w:ascii="CESI仿宋-GB13000" w:hAnsi="CESI仿宋-GB13000" w:eastAsia="CESI仿宋-GB13000" w:cs="CESI仿宋-GB13000"/>
          <w:sz w:val="32"/>
          <w:szCs w:val="32"/>
          <w:lang w:val="en-US" w:eastAsia="zh-CN"/>
        </w:rPr>
        <w:t>你公司多家境内运营实体曾在未取得增值电信、人力资源服务、劳务派遣等相关业务资质的情况下实际开展相关业务，请说明相关情况是否构成本次发行上市的实质性障碍；</w:t>
      </w:r>
      <w:r>
        <w:rPr>
          <w:rFonts w:hint="eastAsia" w:ascii="Times New Roman" w:hAnsi="Times New Roman" w:eastAsia="CESI仿宋-GB2312" w:cs="Times New Roman"/>
          <w:sz w:val="32"/>
          <w:szCs w:val="32"/>
          <w:lang w:val="en-US" w:eastAsia="zh-CN"/>
        </w:rPr>
        <w:t>（2）主</w:t>
      </w:r>
      <w:r>
        <w:rPr>
          <w:rFonts w:hint="eastAsia" w:ascii="CESI仿宋-GB13000" w:hAnsi="CESI仿宋-GB13000" w:eastAsia="CESI仿宋-GB13000" w:cs="CESI仿宋-GB13000"/>
          <w:sz w:val="32"/>
          <w:szCs w:val="32"/>
          <w:lang w:val="en-US" w:eastAsia="zh-CN"/>
        </w:rPr>
        <w:t>要境内运营实体东莞工务园亿方未按照《人力资源市场暂行条例》等相关规定就设立</w:t>
      </w:r>
      <w:r>
        <w:rPr>
          <w:rFonts w:hint="eastAsia" w:ascii="Times New Roman" w:hAnsi="Times New Roman" w:eastAsia="CESI仿宋-GB2312" w:cs="Times New Roman"/>
          <w:sz w:val="32"/>
          <w:szCs w:val="32"/>
          <w:lang w:val="en-US" w:eastAsia="zh-CN"/>
        </w:rPr>
        <w:t>5家</w:t>
      </w:r>
      <w:r>
        <w:rPr>
          <w:rFonts w:hint="eastAsia" w:ascii="CESI仿宋-GB13000" w:hAnsi="CESI仿宋-GB13000" w:eastAsia="CESI仿宋-GB13000" w:cs="CESI仿宋-GB13000"/>
          <w:sz w:val="32"/>
          <w:szCs w:val="32"/>
          <w:lang w:val="en-US" w:eastAsia="zh-CN"/>
        </w:rPr>
        <w:t>分公司事项向有关主管部门书面报告和备案，请说明相关事项的整改规范情况，以及相关情况是否构成本次发行上市的实质性障碍。</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CESI仿宋-GB13000" w:hAnsi="CESI仿宋-GB13000" w:eastAsia="CESI仿宋-GB13000" w:cs="CESI仿宋-GB13000"/>
          <w:sz w:val="32"/>
          <w:szCs w:val="32"/>
          <w:lang w:val="en-US" w:eastAsia="zh-CN"/>
        </w:rPr>
      </w:pPr>
      <w:r>
        <w:rPr>
          <w:rFonts w:hint="eastAsia" w:ascii="CESI仿宋-GB13000" w:hAnsi="CESI仿宋-GB13000" w:eastAsia="CESI仿宋-GB13000" w:cs="CESI仿宋-GB13000"/>
          <w:sz w:val="32"/>
          <w:szCs w:val="32"/>
          <w:lang w:val="en-US" w:eastAsia="zh-CN"/>
        </w:rPr>
        <w:t>三、关于规范运作，请说明境内运营实体及子公司运营的</w:t>
      </w:r>
      <w:r>
        <w:rPr>
          <w:rFonts w:hint="eastAsia" w:ascii="Times New Roman" w:hAnsi="Times New Roman" w:eastAsia="CESI仿宋-GB2312" w:cs="Times New Roman"/>
          <w:sz w:val="32"/>
          <w:szCs w:val="32"/>
          <w:lang w:val="en-US" w:eastAsia="zh-CN"/>
        </w:rPr>
        <w:t>APP、</w:t>
      </w:r>
      <w:r>
        <w:rPr>
          <w:rFonts w:hint="eastAsia" w:ascii="CESI仿宋-GB13000" w:hAnsi="CESI仿宋-GB13000" w:eastAsia="CESI仿宋-GB13000" w:cs="CESI仿宋-GB13000"/>
          <w:sz w:val="32"/>
          <w:szCs w:val="32"/>
          <w:lang w:val="en-US" w:eastAsia="zh-CN"/>
        </w:rPr>
        <w:t>小程序、公众号、网页、软件系统等产品情况，涉及的收集及储存个人信息规模、个人信息收集使用情况，是否存在向境外传输数据或向第三方提供个人信息的情形，并说明上市前后信息数据保护的安排或措施。</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CESI仿宋-GB13000" w:hAnsi="CESI仿宋-GB13000" w:eastAsia="CESI仿宋-GB13000" w:cs="CESI仿宋-GB13000"/>
          <w:sz w:val="32"/>
          <w:szCs w:val="32"/>
          <w:lang w:val="en-US" w:eastAsia="zh-CN"/>
        </w:rPr>
      </w:pPr>
      <w:r>
        <w:rPr>
          <w:rFonts w:hint="eastAsia" w:ascii="CESI仿宋-GB13000" w:hAnsi="CESI仿宋-GB13000" w:eastAsia="CESI仿宋-GB13000" w:cs="CESI仿宋-GB13000"/>
          <w:sz w:val="32"/>
          <w:szCs w:val="32"/>
          <w:lang w:val="en-US" w:eastAsia="zh-CN"/>
        </w:rPr>
        <w:t>四、关于本次发行上市方案，</w:t>
      </w:r>
      <w:r>
        <w:rPr>
          <w:rFonts w:hint="eastAsia" w:ascii="Times New Roman" w:hAnsi="Times New Roman" w:eastAsia="CESI仿宋-GB2312" w:cs="Times New Roman"/>
          <w:sz w:val="32"/>
          <w:szCs w:val="32"/>
          <w:lang w:val="en-US" w:eastAsia="zh-CN"/>
        </w:rPr>
        <w:t>（1）</w:t>
      </w:r>
      <w:r>
        <w:rPr>
          <w:rFonts w:hint="eastAsia" w:ascii="CESI仿宋-GB13000" w:hAnsi="CESI仿宋-GB13000" w:eastAsia="CESI仿宋-GB13000" w:cs="CESI仿宋-GB13000"/>
          <w:sz w:val="32"/>
          <w:szCs w:val="32"/>
          <w:lang w:val="en-US" w:eastAsia="zh-CN"/>
        </w:rPr>
        <w:t>请说明发行方式、发行对象、占发行后总股本比例、列表说明发行前后股权结构的变化情况，以及本次发行后控股股东和实际控制人是否发生变化；</w:t>
      </w:r>
      <w:r>
        <w:rPr>
          <w:rFonts w:hint="eastAsia" w:ascii="Times New Roman" w:hAnsi="Times New Roman" w:eastAsia="CESI仿宋-GB2312" w:cs="Times New Roman"/>
          <w:sz w:val="32"/>
          <w:szCs w:val="32"/>
          <w:lang w:val="en-US" w:eastAsia="zh-CN"/>
        </w:rPr>
        <w:t>（2）募</w:t>
      </w:r>
      <w:r>
        <w:rPr>
          <w:rFonts w:hint="eastAsia" w:ascii="CESI仿宋-GB13000" w:hAnsi="CESI仿宋-GB13000" w:eastAsia="CESI仿宋-GB13000" w:cs="CESI仿宋-GB13000"/>
          <w:sz w:val="32"/>
          <w:szCs w:val="32"/>
          <w:lang w:val="en-US" w:eastAsia="zh-CN"/>
        </w:rPr>
        <w:t>集资金中存在向承销商赔偿的用途，请说明具体情况。</w:t>
      </w:r>
    </w:p>
    <w:p>
      <w:pPr>
        <w:spacing w:line="560" w:lineRule="exact"/>
        <w:ind w:firstLine="640" w:firstLineChars="200"/>
        <w:rPr>
          <w:rFonts w:hint="eastAsia" w:ascii="Times New Roman" w:hAnsi="Times New Roman" w:eastAsia="方正黑体_GBK"/>
          <w:sz w:val="32"/>
          <w:szCs w:val="32"/>
          <w:lang w:val="en-US" w:eastAsia="zh-CN"/>
        </w:rPr>
      </w:pPr>
      <w:r>
        <w:rPr>
          <w:rFonts w:hint="eastAsia" w:ascii="Times New Roman" w:hAnsi="Times New Roman" w:eastAsia="方正黑体_GBK"/>
          <w:sz w:val="32"/>
          <w:szCs w:val="32"/>
          <w:lang w:val="en-US" w:eastAsia="zh-CN"/>
        </w:rPr>
        <w:t>菜鸟智慧物流</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CESI仿宋-GB13000" w:hAnsi="CESI仿宋-GB13000" w:eastAsia="CESI仿宋-GB13000" w:cs="CESI仿宋-GB13000"/>
          <w:sz w:val="32"/>
          <w:szCs w:val="32"/>
          <w:lang w:val="en-US" w:eastAsia="zh-CN"/>
        </w:rPr>
      </w:pPr>
      <w:r>
        <w:rPr>
          <w:rFonts w:hint="eastAsia" w:ascii="CESI仿宋-GB13000" w:hAnsi="CESI仿宋-GB13000" w:eastAsia="CESI仿宋-GB13000" w:cs="CESI仿宋-GB13000"/>
          <w:sz w:val="32"/>
          <w:szCs w:val="32"/>
          <w:lang w:val="en-US" w:eastAsia="zh-CN"/>
        </w:rPr>
        <w:t>请你公司就以下事项补充说明，请律师进行核查并出具明确的法律意见：</w:t>
      </w:r>
      <w:r>
        <w:rPr>
          <w:rFonts w:hint="eastAsia" w:ascii="CESI仿宋-GB13000" w:hAnsi="CESI仿宋-GB13000" w:eastAsia="CESI仿宋-GB13000" w:cs="CESI仿宋-GB13000"/>
          <w:sz w:val="32"/>
          <w:szCs w:val="32"/>
          <w:lang w:val="en-US" w:eastAsia="zh-CN"/>
        </w:rPr>
        <w:br w:type="textWrapping"/>
      </w:r>
      <w:r>
        <w:rPr>
          <w:rFonts w:hint="eastAsia" w:ascii="CESI仿宋-GB13000" w:hAnsi="CESI仿宋-GB13000" w:eastAsia="CESI仿宋-GB13000" w:cs="CESI仿宋-GB13000"/>
          <w:sz w:val="32"/>
          <w:szCs w:val="32"/>
          <w:lang w:val="en-US" w:eastAsia="zh-CN"/>
        </w:rPr>
        <w:t xml:space="preserve">    一、关于股权结构：（</w:t>
      </w:r>
      <w:r>
        <w:rPr>
          <w:rFonts w:hint="eastAsia" w:ascii="Times New Roman" w:hAnsi="Times New Roman" w:eastAsia="CESI仿宋-GB2312" w:cs="Times New Roman"/>
          <w:sz w:val="32"/>
          <w:szCs w:val="32"/>
          <w:lang w:val="en-US" w:eastAsia="zh-CN"/>
        </w:rPr>
        <w:t>1）</w:t>
      </w:r>
      <w:r>
        <w:rPr>
          <w:rFonts w:hint="eastAsia" w:ascii="CESI仿宋-GB13000" w:hAnsi="CESI仿宋-GB13000" w:eastAsia="CESI仿宋-GB13000" w:cs="CESI仿宋-GB13000"/>
          <w:sz w:val="32"/>
          <w:szCs w:val="32"/>
          <w:lang w:val="en-US" w:eastAsia="zh-CN"/>
        </w:rPr>
        <w:t>阿里巴巴集团及沈国军通过多个境外持股平台持有你公司股份的原因，并对照监管指引说明</w:t>
      </w:r>
      <w:r>
        <w:rPr>
          <w:rFonts w:hint="eastAsia" w:ascii="Times New Roman" w:hAnsi="Times New Roman" w:eastAsia="CESI仿宋-GB2312" w:cs="Times New Roman"/>
          <w:sz w:val="32"/>
          <w:szCs w:val="32"/>
          <w:lang w:val="en-US" w:eastAsia="zh-CN"/>
        </w:rPr>
        <w:t>Guojun Evergreen Trust的具体情况；（2）列表说明Profit Reach、Elite Data及Stater Investment Holdings Limited所涉股权转让价格、定价依据、价款支付及税费缴纳情况；（3）Ali KB Investment代持Elite Data</w:t>
      </w:r>
      <w:r>
        <w:rPr>
          <w:rFonts w:hint="eastAsia" w:ascii="CESI仿宋-GB13000" w:hAnsi="CESI仿宋-GB13000" w:eastAsia="CESI仿宋-GB13000" w:cs="CESI仿宋-GB13000"/>
          <w:sz w:val="32"/>
          <w:szCs w:val="32"/>
          <w:lang w:val="en-US" w:eastAsia="zh-CN"/>
        </w:rPr>
        <w:t>部分股份的原因及代持还原情况。</w:t>
      </w:r>
      <w:r>
        <w:rPr>
          <w:rFonts w:hint="eastAsia" w:ascii="CESI仿宋-GB13000" w:hAnsi="CESI仿宋-GB13000" w:eastAsia="CESI仿宋-GB13000" w:cs="CESI仿宋-GB13000"/>
          <w:sz w:val="32"/>
          <w:szCs w:val="32"/>
          <w:lang w:val="en-US" w:eastAsia="zh-CN"/>
        </w:rPr>
        <w:br w:type="textWrapping"/>
      </w:r>
      <w:r>
        <w:rPr>
          <w:rFonts w:hint="eastAsia" w:ascii="CESI仿宋-GB13000" w:hAnsi="CESI仿宋-GB13000" w:eastAsia="CESI仿宋-GB13000" w:cs="CESI仿宋-GB13000"/>
          <w:sz w:val="32"/>
          <w:szCs w:val="32"/>
          <w:lang w:val="en-US" w:eastAsia="zh-CN"/>
        </w:rPr>
        <w:t xml:space="preserve">    二、关于股权激励：</w:t>
      </w:r>
      <w:r>
        <w:rPr>
          <w:rFonts w:hint="eastAsia" w:ascii="Times New Roman" w:hAnsi="Times New Roman" w:eastAsia="CESI仿宋-GB2312" w:cs="Times New Roman"/>
          <w:sz w:val="32"/>
          <w:szCs w:val="32"/>
          <w:lang w:val="en-US" w:eastAsia="zh-CN"/>
        </w:rPr>
        <w:t>（1）股权激励计划的合规性，包括但不限于境内个人境外持股实体履行外汇管理等境内监管程序的情况，并说明是否存在未明确授予对象的情况，以及自然人通过股权激励直接持有发行人境外股份的合规性；（2）对照监管指引核查说明股</w:t>
      </w:r>
      <w:r>
        <w:rPr>
          <w:rFonts w:hint="eastAsia" w:ascii="CESI仿宋-GB13000" w:hAnsi="CESI仿宋-GB13000" w:eastAsia="CESI仿宋-GB13000" w:cs="CESI仿宋-GB13000"/>
          <w:sz w:val="32"/>
          <w:szCs w:val="32"/>
          <w:lang w:val="en-US" w:eastAsia="zh-CN"/>
        </w:rPr>
        <w:t>权激励对象中顾问、非发行人集团员工的具体情况，包括入股原因及背景、入股价格、作价依据、资金来源等，是否存在境内法律法规规定的禁止持股主体，是否存在利益输送。</w:t>
      </w:r>
      <w:r>
        <w:rPr>
          <w:rFonts w:hint="eastAsia" w:ascii="CESI仿宋-GB13000" w:hAnsi="CESI仿宋-GB13000" w:eastAsia="CESI仿宋-GB13000" w:cs="CESI仿宋-GB13000"/>
          <w:sz w:val="32"/>
          <w:szCs w:val="32"/>
          <w:lang w:val="en-US" w:eastAsia="zh-CN"/>
        </w:rPr>
        <w:br w:type="textWrapping"/>
      </w:r>
      <w:r>
        <w:rPr>
          <w:rFonts w:hint="eastAsia" w:ascii="CESI仿宋-GB13000" w:hAnsi="CESI仿宋-GB13000" w:eastAsia="CESI仿宋-GB13000" w:cs="CESI仿宋-GB13000"/>
          <w:sz w:val="32"/>
          <w:szCs w:val="32"/>
          <w:lang w:val="en-US" w:eastAsia="zh-CN"/>
        </w:rPr>
        <w:t xml:space="preserve">    三、关于控制架构：（</w:t>
      </w:r>
      <w:r>
        <w:rPr>
          <w:rFonts w:hint="eastAsia" w:ascii="Times New Roman" w:hAnsi="Times New Roman" w:eastAsia="CESI仿宋-GB2312" w:cs="Times New Roman"/>
          <w:sz w:val="32"/>
          <w:szCs w:val="32"/>
          <w:lang w:val="en-US" w:eastAsia="zh-CN"/>
        </w:rPr>
        <w:t>1）主要境内运营实体菜鸟网络、杭州菜鸟物流、深圳北领股东两次股权转让、浙江心怡股东第十次至第十七次股权转让、浙江丹鸟股东第六次股权转让、浙江驿栈股东第一、二次股权转让的对价、定价依据及税费缴纳情况；（2）浙江菜鸟与杭州菜鸟及股东签署两套协议的原因，并说明杭州越鹄</w:t>
      </w:r>
      <w:r>
        <w:rPr>
          <w:rFonts w:hint="eastAsia" w:ascii="CESI仿宋-GB13000" w:hAnsi="CESI仿宋-GB13000" w:eastAsia="CESI仿宋-GB13000" w:cs="CESI仿宋-GB13000"/>
          <w:sz w:val="32"/>
          <w:szCs w:val="32"/>
          <w:lang w:val="en-US" w:eastAsia="zh-CN"/>
        </w:rPr>
        <w:t>股东具体背景，其未在发行人层面持股的原因，是否存在代持，以及相关安排可能引发的控制权稳定、相关主体违约等风险及应对措施；</w:t>
      </w:r>
      <w:r>
        <w:rPr>
          <w:rFonts w:hint="eastAsia" w:ascii="Times New Roman" w:hAnsi="Times New Roman" w:eastAsia="CESI仿宋-GB2312" w:cs="Times New Roman"/>
          <w:sz w:val="32"/>
          <w:szCs w:val="32"/>
          <w:lang w:val="en-US" w:eastAsia="zh-CN"/>
        </w:rPr>
        <w:t>（3）</w:t>
      </w:r>
      <w:r>
        <w:rPr>
          <w:rFonts w:hint="eastAsia" w:ascii="CESI仿宋-GB13000" w:hAnsi="CESI仿宋-GB13000" w:eastAsia="CESI仿宋-GB13000" w:cs="CESI仿宋-GB13000"/>
          <w:sz w:val="32"/>
          <w:szCs w:val="32"/>
          <w:lang w:val="en-US" w:eastAsia="zh-CN"/>
        </w:rPr>
        <w:t>取得境内企业资产、权益涉及外商投资管理程序的，列表说明相关程序履行情况。</w:t>
      </w:r>
      <w:r>
        <w:rPr>
          <w:rFonts w:hint="eastAsia" w:ascii="CESI仿宋-GB13000" w:hAnsi="CESI仿宋-GB13000" w:eastAsia="CESI仿宋-GB13000" w:cs="CESI仿宋-GB13000"/>
          <w:sz w:val="32"/>
          <w:szCs w:val="32"/>
          <w:lang w:val="en-US" w:eastAsia="zh-CN"/>
        </w:rPr>
        <w:br w:type="textWrapping"/>
      </w:r>
      <w:r>
        <w:rPr>
          <w:rFonts w:hint="eastAsia" w:ascii="CESI仿宋-GB13000" w:hAnsi="CESI仿宋-GB13000" w:eastAsia="CESI仿宋-GB13000" w:cs="CESI仿宋-GB13000"/>
          <w:sz w:val="32"/>
          <w:szCs w:val="32"/>
          <w:lang w:val="en-US" w:eastAsia="zh-CN"/>
        </w:rPr>
        <w:t xml:space="preserve">    四、关于规范运作：</w:t>
      </w:r>
      <w:r>
        <w:rPr>
          <w:rFonts w:hint="eastAsia" w:ascii="Times New Roman" w:hAnsi="Times New Roman" w:eastAsia="CESI仿宋-GB2312" w:cs="Times New Roman"/>
          <w:sz w:val="32"/>
          <w:szCs w:val="32"/>
          <w:lang w:val="en-US" w:eastAsia="zh-CN"/>
        </w:rPr>
        <w:t>（1）你公司开发、运营的网站、APP、小程序等产品收集及储存的客户信息规模、数据收集使用情况，是否涉及向第三方或向境外提供个人用户数据信息，是否符合个人信息出境有关法律法规规定，并说明上市前后个人信息保护和数据安全的安排或措施；（2）业务经营是否涉及《外商投资准入特别管理措施（负面清单）》“信件国内快递业务”，并提供明确依据；（3）生成式人工智能符合《生成式人工智能服务管理暂行办法》等</w:t>
      </w:r>
      <w:r>
        <w:rPr>
          <w:rFonts w:hint="eastAsia" w:ascii="CESI仿宋-GB13000" w:hAnsi="CESI仿宋-GB13000" w:eastAsia="CESI仿宋-GB13000" w:cs="CESI仿宋-GB13000"/>
          <w:sz w:val="32"/>
          <w:szCs w:val="32"/>
          <w:lang w:val="en-US" w:eastAsia="zh-CN"/>
        </w:rPr>
        <w:t>合规情况。</w:t>
      </w:r>
      <w:r>
        <w:rPr>
          <w:rFonts w:hint="eastAsia" w:ascii="CESI仿宋-GB13000" w:hAnsi="CESI仿宋-GB13000" w:eastAsia="CESI仿宋-GB13000" w:cs="CESI仿宋-GB13000"/>
          <w:sz w:val="32"/>
          <w:szCs w:val="32"/>
          <w:lang w:val="en-US" w:eastAsia="zh-CN"/>
        </w:rPr>
        <w:br w:type="textWrapping"/>
      </w:r>
      <w:r>
        <w:rPr>
          <w:rFonts w:hint="eastAsia" w:ascii="CESI仿宋-GB13000" w:hAnsi="CESI仿宋-GB13000" w:eastAsia="CESI仿宋-GB13000" w:cs="CESI仿宋-GB13000"/>
          <w:sz w:val="32"/>
          <w:szCs w:val="32"/>
          <w:lang w:val="en-US" w:eastAsia="zh-CN"/>
        </w:rPr>
        <w:t xml:space="preserve">    五、关于独立性：</w:t>
      </w:r>
      <w:r>
        <w:rPr>
          <w:rFonts w:hint="eastAsia" w:ascii="Times New Roman" w:hAnsi="Times New Roman" w:eastAsia="CESI仿宋-GB2312" w:cs="Times New Roman"/>
          <w:sz w:val="32"/>
          <w:szCs w:val="32"/>
          <w:lang w:val="en-US" w:eastAsia="zh-CN"/>
        </w:rPr>
        <w:t>（</w:t>
      </w:r>
      <w:r>
        <w:rPr>
          <w:rFonts w:hint="eastAsia" w:ascii="Times New Roman" w:hAnsi="Times New Roman" w:eastAsia="CESI仿宋-GB2312" w:cs="Times New Roman"/>
          <w:sz w:val="32"/>
          <w:szCs w:val="32"/>
          <w:lang w:val="en-US" w:eastAsia="zh-CN"/>
        </w:rPr>
        <w:t>1）发行人与母公司阿里巴巴在业务、资产、人员、机构、财务等方面的独立性情况；（2）分类说明关联交易具体情况及占比；关联交易发生的环节、公允性及可替代性；（3）与母公司</w:t>
      </w:r>
      <w:r>
        <w:rPr>
          <w:rFonts w:hint="eastAsia" w:ascii="CESI仿宋-GB13000" w:hAnsi="CESI仿宋-GB13000" w:eastAsia="CESI仿宋-GB13000" w:cs="CESI仿宋-GB13000"/>
          <w:sz w:val="32"/>
          <w:szCs w:val="32"/>
          <w:lang w:val="en-US" w:eastAsia="zh-CN"/>
        </w:rPr>
        <w:t>重合的客户和供应商的占比情况。</w:t>
      </w:r>
      <w:r>
        <w:rPr>
          <w:rFonts w:hint="eastAsia" w:ascii="CESI仿宋-GB13000" w:hAnsi="CESI仿宋-GB13000" w:eastAsia="CESI仿宋-GB13000" w:cs="CESI仿宋-GB13000"/>
          <w:sz w:val="32"/>
          <w:szCs w:val="32"/>
          <w:lang w:val="en-US" w:eastAsia="zh-CN"/>
        </w:rPr>
        <w:br w:type="textWrapping"/>
      </w:r>
      <w:r>
        <w:rPr>
          <w:rFonts w:hint="eastAsia" w:ascii="CESI仿宋-GB13000" w:hAnsi="CESI仿宋-GB13000" w:eastAsia="CESI仿宋-GB13000" w:cs="CESI仿宋-GB13000"/>
          <w:sz w:val="32"/>
          <w:szCs w:val="32"/>
          <w:lang w:val="en-US" w:eastAsia="zh-CN"/>
        </w:rPr>
        <w:t xml:space="preserve">    六、关于分拆安排：阿里巴巴集团所控制资产或业务分拆上市的主要考虑、分拆原则和整体安排，其他各（拟）分拆业务板块的经营独立性，并说明（拟）分拆的业务板块名称、（计划）上市地和上市时间、目前所处阶段。</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CESI仿宋-GB13000" w:hAnsi="CESI仿宋-GB13000" w:eastAsia="CESI仿宋-GB13000" w:cs="CESI仿宋-GB13000"/>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CESI仿宋-GB13000" w:hAnsi="CESI仿宋-GB13000" w:eastAsia="CESI仿宋-GB13000" w:cs="CESI仿宋-GB13000"/>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CESI仿宋-GB13000" w:hAnsi="CESI仿宋-GB13000" w:eastAsia="CESI仿宋-GB13000" w:cs="CESI仿宋-GB13000"/>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CESI仿宋-GB13000" w:hAnsi="CESI仿宋-GB13000" w:eastAsia="CESI仿宋-GB13000" w:cs="CESI仿宋-GB13000"/>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CESI仿宋-GB13000" w:hAnsi="CESI仿宋-GB13000" w:eastAsia="CESI仿宋-GB13000" w:cs="CESI仿宋-GB13000"/>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CESI仿宋-GB13000" w:hAnsi="CESI仿宋-GB13000" w:eastAsia="CESI仿宋-GB13000" w:cs="CESI仿宋-GB13000"/>
          <w:sz w:val="32"/>
          <w:szCs w:val="32"/>
          <w:lang w:val="en-US" w:eastAsia="zh-CN"/>
        </w:rPr>
      </w:pPr>
    </w:p>
    <w:sectPr>
      <w:headerReference r:id="rId3" w:type="default"/>
      <w:footerReference r:id="rId4"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00"/>
    <w:family w:val="auto"/>
    <w:pitch w:val="default"/>
    <w:sig w:usb0="00000000" w:usb1="00000000" w:usb2="00000000" w:usb3="00000000" w:csb0="00040001" w:csb1="00000000"/>
  </w:font>
  <w:font w:name="Wingdings">
    <w:panose1 w:val="05000000000000000000"/>
    <w:charset w:val="02"/>
    <w:family w:val="auto"/>
    <w:pitch w:val="default"/>
    <w:sig w:usb0="00000000" w:usb1="00000000" w:usb2="00000000" w:usb3="00000000" w:csb0="80000000" w:csb1="00000000"/>
  </w:font>
  <w:font w:name="Arial">
    <w:altName w:val="DejaVu Sans"/>
    <w:panose1 w:val="020B0604020202020204"/>
    <w:charset w:val="01"/>
    <w:family w:val="swiss"/>
    <w:pitch w:val="default"/>
    <w:sig w:usb0="E0002AFF" w:usb1="C0007843" w:usb2="00000009" w:usb3="00000000" w:csb0="400001FF" w:csb1="FFFF0000"/>
  </w:font>
  <w:font w:name="黑体">
    <w:altName w:val="方正黑体_GB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DejaVu Sans">
    <w:panose1 w:val="020B0603030804020204"/>
    <w:charset w:val="00"/>
    <w:family w:val="auto"/>
    <w:pitch w:val="default"/>
    <w:sig w:usb0="E7006EFF" w:usb1="D200FDFF" w:usb2="0A246029" w:usb3="0400200C" w:csb0="600001FF" w:csb1="DFFF0000"/>
  </w:font>
  <w:font w:name="Calibri">
    <w:altName w:val="微软雅黑"/>
    <w:panose1 w:val="020F0502020204030204"/>
    <w:charset w:val="00"/>
    <w:family w:val="swiss"/>
    <w:pitch w:val="default"/>
    <w:sig w:usb0="00000000" w:usb1="00000000" w:usb2="00000001" w:usb3="00000000" w:csb0="0000019F" w:csb1="00000000"/>
  </w:font>
  <w:font w:name="微软雅黑">
    <w:panose1 w:val="020B0503020204020204"/>
    <w:charset w:val="86"/>
    <w:family w:val="auto"/>
    <w:pitch w:val="default"/>
    <w:sig w:usb0="80000287" w:usb1="280F3C52" w:usb2="00000016" w:usb3="00000000" w:csb0="0004001F" w:csb1="00000000"/>
  </w:font>
  <w:font w:name="方正书宋_GBK">
    <w:panose1 w:val="02000000000000000000"/>
    <w:charset w:val="86"/>
    <w:family w:val="auto"/>
    <w:pitch w:val="default"/>
    <w:sig w:usb0="00000001" w:usb1="08000000" w:usb2="00000000" w:usb3="00000000" w:csb0="00040000" w:csb1="00000000"/>
  </w:font>
  <w:font w:name="方正大标宋简体">
    <w:altName w:val="微软雅黑"/>
    <w:panose1 w:val="03000509000000000000"/>
    <w:charset w:val="00"/>
    <w:family w:val="auto"/>
    <w:pitch w:val="default"/>
    <w:sig w:usb0="00000000" w:usb1="00000000" w:usb2="00000000" w:usb3="00000000" w:csb0="00040000" w:csb1="00000000"/>
  </w:font>
  <w:font w:name="sysfST">
    <w:altName w:val="微软雅黑"/>
    <w:panose1 w:val="00000000000000000000"/>
    <w:charset w:val="00"/>
    <w:family w:val="auto"/>
    <w:pitch w:val="default"/>
    <w:sig w:usb0="00000000" w:usb1="00000000" w:usb2="00000000" w:usb3="00000000" w:csb0="00040001" w:csb1="00000000"/>
  </w:font>
  <w:font w:name="仿宋_GB2312">
    <w:altName w:val="微软雅黑"/>
    <w:panose1 w:val="02010609030101010101"/>
    <w:charset w:val="00"/>
    <w:family w:val="auto"/>
    <w:pitch w:val="default"/>
    <w:sig w:usb0="00000000" w:usb1="00000000" w:usb2="00000000" w:usb3="00000000" w:csb0="00040000" w:csb1="00000000"/>
  </w:font>
  <w:font w:name="方正黑体_GBK">
    <w:panose1 w:val="02000000000000000000"/>
    <w:charset w:val="86"/>
    <w:family w:val="auto"/>
    <w:pitch w:val="default"/>
    <w:sig w:usb0="00000001" w:usb1="08000000" w:usb2="00000000" w:usb3="00000000" w:csb0="00040000" w:csb1="00000000"/>
  </w:font>
  <w:font w:name="CESI仿宋-GB13000">
    <w:panose1 w:val="02000500000000000000"/>
    <w:charset w:val="86"/>
    <w:family w:val="auto"/>
    <w:pitch w:val="default"/>
    <w:sig w:usb0="800002BF" w:usb1="18CF7CF8" w:usb2="00000016" w:usb3="00000000" w:csb0="0004000F" w:csb1="00000000"/>
  </w:font>
  <w:font w:name="CESI仿宋-GB2312">
    <w:panose1 w:val="02000500000000000000"/>
    <w:charset w:val="86"/>
    <w:family w:val="auto"/>
    <w:pitch w:val="default"/>
    <w:sig w:usb0="800002AF" w:usb1="084F6CF8" w:usb2="00000010"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pPr>
                            <w:pStyle w:val="2"/>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C9dBt2NwIAAG8EAAAOAAAAZHJz&#10;L2Uyb0RvYy54bWytVM2O0zAQviPxDpbvNGkRqypquipbFSFV7EoFcXYdp4nkP9luk/IA8AacuHDn&#10;ufocfM5PFy0c9sDFGXvG38z3zTiL21ZJchLO10bndDpJKRGam6LWh5x++rh5NafEB6YLJo0WOT0L&#10;T2+XL18sGpuJmamMLIQjANE+a2xOqxBsliSeV0IxPzFWaDhL4xQL2LpDUjjWAF3JZJamN0ljXGGd&#10;4cJ7nK57Jx0Q3XMATVnWXKwNPyqhQ4/qhGQBlHxVW0+XXbVlKXi4L0svApE5BdPQrUgCex/XZLlg&#10;2cExW9V8KIE9p4QnnBSrNZJeodYsMHJ09V9QqubOeFOGCTcq6Yl0ioDFNH2iza5iVnRcILW3V9H9&#10;/4PlH04PjtQFJoESzRQafvn+7fLj1+XnVzKN8jTWZ4jaWcSF9q1pY+hw7nEYWbelU/ELPgR+iHu+&#10;iivaQHi8NJ/N5ylcHL5xA5zk8bp1PrwTRpFo5NShe52o7LT1oQ8dQ2I2bTa1lDhnmdSkyenN6zdp&#10;d+HqAbjUMUB0szDAREp96dEK7b4d+OxNcQZNZ/o58ZZvapSyZT48MIfBQPl4OuEeSykNUprBoqQy&#10;7su/zmM8+gUvJQ0GLaca74oS+V6jjwAMo+FGYz8a+qjuDCYXvUEtnYkLLsjRLJ1Rn/GeVjEHXExz&#10;ZMppGM270A873iMXq1UXdLSuPlT9BUyhZWGrd5bHNFEqb1fHAGk7xaNAvSroVNxgDrueDW8mDvqf&#10;+y7q8T+x/A1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BQAAAAIAIdO4kCKFGY80QAAAJQBAAAL&#10;AAAAAAAAAAEAIAAAALwDAABfcmVscy8ucmVsc1BLAQIUAAoAAAAAAIdO4kAAAAAAAAAAAAAAAAAG&#10;AAAAAAAAAAAAEAAAAJgDAABfcmVscy9QSwECFAAUAAAACACHTuJAvXQbdjcCAABvBAAADgAAAAAA&#10;AAABACAAAAA1AQAAZHJzL2Uyb0RvYy54bWxQSwECFAAUAAAACACHTuJAs0lY7tAAAAAFAQAADwAA&#10;AAAAAAABACAAAAA4AAAAZHJzL2Rvd25yZXYueG1sUEsBAhQACgAAAAAAh07iQAAAAAAAAAAAAAAA&#10;AAQAAAAAAAAAAAAQAAAAFgAAAGRycy9QSwUGAAAAAAYABgBZAQAA3gUAAAAA&#10;">
              <v:fill on="f" focussize="0,0"/>
              <v:stroke on="f" weight="0.5pt"/>
              <v:imagedata o:title=""/>
              <o:lock v:ext="edit" aspectratio="f"/>
              <v:textbox inset="0mm,0mm,0mm,0mm" style="mso-fit-shape-to-text:t;">
                <w:txbxContent>
                  <w:p>
                    <w:pPr>
                      <w:pStyle w:val="2"/>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NotDisplayPageBoundaries w:val="1"/>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CDFAF5B4"/>
    <w:rsid w:val="2CBF98A1"/>
    <w:rsid w:val="37FFA508"/>
    <w:rsid w:val="3F5E63A9"/>
    <w:rsid w:val="4F67EC1C"/>
    <w:rsid w:val="53F9EC31"/>
    <w:rsid w:val="5CFD5408"/>
    <w:rsid w:val="5FBAC526"/>
    <w:rsid w:val="67FDA652"/>
    <w:rsid w:val="6FB7BF97"/>
    <w:rsid w:val="6FBFA923"/>
    <w:rsid w:val="6FFD88D1"/>
    <w:rsid w:val="73BE761E"/>
    <w:rsid w:val="77FF3978"/>
    <w:rsid w:val="7B779CEC"/>
    <w:rsid w:val="7BFBBAFC"/>
    <w:rsid w:val="7CBF9F3A"/>
    <w:rsid w:val="7DEE8249"/>
    <w:rsid w:val="7DFE8840"/>
    <w:rsid w:val="7EB8C5C1"/>
    <w:rsid w:val="7FFFC4C4"/>
    <w:rsid w:val="7FFFCE12"/>
    <w:rsid w:val="9B339AF2"/>
    <w:rsid w:val="9FDED63D"/>
    <w:rsid w:val="B379C565"/>
    <w:rsid w:val="B3EECBF7"/>
    <w:rsid w:val="B3EF337F"/>
    <w:rsid w:val="B7BF8DEC"/>
    <w:rsid w:val="BB1E9A4F"/>
    <w:rsid w:val="BBD1D2C6"/>
    <w:rsid w:val="BEF31206"/>
    <w:rsid w:val="BFA631D0"/>
    <w:rsid w:val="BFEF7422"/>
    <w:rsid w:val="CDFAF5B4"/>
    <w:rsid w:val="D47E7E86"/>
    <w:rsid w:val="DDE7B892"/>
    <w:rsid w:val="DFE5A22D"/>
    <w:rsid w:val="E7E4AAA3"/>
    <w:rsid w:val="EBDF893F"/>
    <w:rsid w:val="F3FBBB12"/>
    <w:rsid w:val="F3FF76A6"/>
    <w:rsid w:val="F66FFFBE"/>
    <w:rsid w:val="FB7D38C0"/>
    <w:rsid w:val="FBEADAD9"/>
    <w:rsid w:val="FBFDA5AC"/>
    <w:rsid w:val="FEF445FD"/>
    <w:rsid w:val="FFF5A8EC"/>
    <w:rsid w:val="FFFDC11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jc w:val="both"/>
    </w:pPr>
    <w:rPr>
      <w:rFonts w:ascii="Calibri" w:hAnsi="Calibri" w:eastAsia="宋体" w:cs="Times New Roman"/>
      <w:kern w:val="2"/>
      <w:sz w:val="21"/>
      <w:szCs w:val="24"/>
      <w:lang w:val="en-US" w:eastAsia="zh-CN" w:bidi="ar-SA"/>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szCs w:val="18"/>
    </w:rPr>
  </w:style>
  <w:style w:type="paragraph" w:styleId="3">
    <w:name w:val="header"/>
    <w:basedOn w:val="1"/>
    <w:qFormat/>
    <w:uiPriority w:val="0"/>
    <w:pPr>
      <w:tabs>
        <w:tab w:val="center" w:pos="4153"/>
        <w:tab w:val="right" w:pos="8306"/>
      </w:tabs>
      <w:snapToGrid w:val="0"/>
      <w:jc w:val="center"/>
    </w:pPr>
    <w:rPr>
      <w:sz w:val="18"/>
      <w:szCs w:val="18"/>
    </w:rPr>
  </w:style>
  <w:style w:type="paragraph" w:styleId="4">
    <w:name w:val="Normal (Web)"/>
    <w:basedOn w:val="1"/>
    <w:qFormat/>
    <w:uiPriority w:val="0"/>
    <w:pPr>
      <w:spacing w:before="100" w:beforeAutospacing="1" w:after="10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6</TotalTime>
  <ScaleCrop>false</ScaleCrop>
  <LinksUpToDate>false</LinksUpToDate>
  <CharactersWithSpaces>0</CharactersWithSpaces>
  <Application>WPS Office_11.8.2.11764_F1E327BC-269C-435d-A152-05C5408002CA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2023-10-02T01:34:00Z</dcterms:created>
  <dc:creator>csrc</dc:creator>
  <cp:lastModifiedBy>csrc</cp:lastModifiedBy>
  <dcterms:modified xsi:type="dcterms:W3CDTF">2023-11-10T10:21:16Z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2052-11.8.2.11764</vt:lpwstr>
  </property>
  <property fmtid="{D5CDD505-2E9C-101B-9397-08002B2CF9AE}" pid="3" name="ICV">
    <vt:lpwstr>6E50D6BC1684E1C319E41065FCFC32D4</vt:lpwstr>
  </property>
</Properties>
</file>