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ind w:left="0" w:hanging="0"/>
        <w:jc w:val="center"/>
        <w:rPr>
          <w:rFonts w:ascii="Times New Roman;DejaVu Sans" w:hAnsi="Times New Roman;DejaVu Sans" w:eastAsia="方正大标宋简体;微软雅黑" w:cs="Times New Roman;DejaVu Sans"/>
          <w:bCs/>
          <w:sz w:val="36"/>
          <w:szCs w:val="36"/>
        </w:rPr>
      </w:pPr>
      <w:r>
        <w:rPr>
          <w:rFonts w:ascii="Times New Roman;DejaVu Sans" w:hAnsi="Times New Roman;DejaVu Sans" w:cs="Times New Roman;DejaVu Sans" w:eastAsia="方正大标宋简体;微软雅黑"/>
          <w:bCs/>
          <w:sz w:val="36"/>
          <w:szCs w:val="36"/>
        </w:rPr>
        <w:t>境外发行上市备案补充材料要求</w:t>
      </w:r>
    </w:p>
    <w:p>
      <w:pPr>
        <w:pStyle w:val="Normal"/>
        <w:spacing w:lineRule="exact" w:line="560"/>
        <w:ind w:left="0" w:hanging="0"/>
        <w:jc w:val="center"/>
        <w:rPr>
          <w:rFonts w:ascii="Times New Roman;DejaVu Sans" w:hAnsi="Times New Roman;DejaVu Sans" w:eastAsia="方正大标宋简体;微软雅黑" w:cs="Times New Roman;DejaVu Sans"/>
          <w:bCs/>
          <w:sz w:val="32"/>
          <w:szCs w:val="32"/>
        </w:rPr>
      </w:pP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（</w:t>
      </w:r>
      <w:r>
        <w:rPr>
          <w:rFonts w:eastAsia="方正大标宋简体;微软雅黑" w:cs="Times New Roman;DejaVu Sans" w:ascii="Times New Roman;DejaVu Sans" w:hAnsi="Times New Roman;DejaVu Sans"/>
          <w:bCs/>
          <w:sz w:val="32"/>
          <w:szCs w:val="32"/>
        </w:rPr>
        <w:t>2023</w:t>
      </w: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年</w:t>
      </w:r>
      <w:r>
        <w:rPr>
          <w:rFonts w:eastAsia="方正大标宋简体;微软雅黑" w:cs="Times New Roman;DejaVu Sans" w:ascii="Times New Roman;DejaVu Sans" w:hAnsi="Times New Roman;DejaVu Sans"/>
          <w:bCs/>
          <w:sz w:val="32"/>
          <w:szCs w:val="32"/>
          <w:lang w:val="en-US" w:eastAsia="zh-CN"/>
        </w:rPr>
        <w:t>11</w:t>
      </w: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月</w:t>
      </w:r>
      <w:r>
        <w:rPr>
          <w:rFonts w:eastAsia="方正大标宋简体;微软雅黑" w:cs="Times New Roman;DejaVu Sans" w:ascii="Times New Roman;DejaVu Sans" w:hAnsi="Times New Roman;DejaVu Sans"/>
          <w:bCs/>
          <w:sz w:val="32"/>
          <w:szCs w:val="32"/>
          <w:lang w:val="en-US" w:eastAsia="zh-CN"/>
        </w:rPr>
        <w:t>17</w:t>
      </w: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日—</w:t>
      </w:r>
      <w:r>
        <w:rPr>
          <w:rFonts w:eastAsia="方正大标宋简体;微软雅黑" w:cs="Times New Roman;DejaVu Sans" w:ascii="Times New Roman;DejaVu Sans" w:hAnsi="Times New Roman;DejaVu Sans"/>
          <w:bCs/>
          <w:sz w:val="32"/>
          <w:szCs w:val="32"/>
        </w:rPr>
        <w:t>2023</w:t>
      </w: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年</w:t>
      </w:r>
      <w:r>
        <w:rPr>
          <w:rFonts w:eastAsia="方正大标宋简体;微软雅黑" w:cs="Times New Roman;DejaVu Sans" w:ascii="Times New Roman;DejaVu Sans" w:hAnsi="Times New Roman;DejaVu Sans"/>
          <w:bCs/>
          <w:sz w:val="32"/>
          <w:szCs w:val="32"/>
          <w:lang w:val="en-US" w:eastAsia="zh-CN"/>
        </w:rPr>
        <w:t>11</w:t>
      </w: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月</w:t>
      </w:r>
      <w:r>
        <w:rPr>
          <w:rFonts w:eastAsia="方正大标宋简体;微软雅黑" w:cs="Times New Roman;DejaVu Sans" w:ascii="Times New Roman;DejaVu Sans" w:hAnsi="Times New Roman;DejaVu Sans"/>
          <w:bCs/>
          <w:sz w:val="32"/>
          <w:szCs w:val="32"/>
          <w:lang w:val="en-US" w:eastAsia="zh-CN"/>
        </w:rPr>
        <w:t>23</w:t>
      </w:r>
      <w:r>
        <w:rPr>
          <w:rFonts w:ascii="Times New Roman;DejaVu Sans" w:hAnsi="Times New Roman;DejaVu Sans" w:cs="Times New Roman;DejaVu Sans" w:eastAsia="方正大标宋简体;微软雅黑"/>
          <w:bCs/>
          <w:sz w:val="32"/>
          <w:szCs w:val="32"/>
        </w:rPr>
        <w:t>日）</w:t>
      </w:r>
    </w:p>
    <w:p>
      <w:pPr>
        <w:pStyle w:val="Normal"/>
        <w:spacing w:lineRule="exact" w:line="560"/>
        <w:ind w:firstLine="560"/>
        <w:jc w:val="center"/>
        <w:rPr>
          <w:rFonts w:ascii="Times New Roman;DejaVu Sans" w:hAnsi="Times New Roman;DejaVu Sans" w:eastAsia="sysfST;微软雅黑" w:cs="Times New Roman;DejaVu Sans"/>
          <w:b/>
          <w:b/>
          <w:bCs/>
          <w:sz w:val="28"/>
          <w:szCs w:val="28"/>
        </w:rPr>
      </w:pPr>
      <w:r>
        <w:rPr>
          <w:rFonts w:eastAsia="sysfST;微软雅黑" w:cs="Times New Roman;DejaVu Sans" w:ascii="Times New Roman;DejaVu Sans" w:hAnsi="Times New Roman;DejaVu Sans"/>
          <w:b/>
          <w:bCs/>
          <w:sz w:val="28"/>
          <w:szCs w:val="28"/>
        </w:rPr>
      </w:r>
    </w:p>
    <w:p>
      <w:pPr>
        <w:pStyle w:val="Normal"/>
        <w:spacing w:lineRule="exact" w:line="560"/>
        <w:ind w:firstLine="640"/>
        <w:rPr>
          <w:rFonts w:ascii="Times New Roman;DejaVu Sans" w:hAnsi="Times New Roman;DejaVu Sans" w:eastAsia="仿宋_GB2312;微软雅黑" w:cs="Times New Roman;DejaVu Sans"/>
          <w:sz w:val="32"/>
          <w:szCs w:val="32"/>
          <w:lang w:eastAsia="zh-CN"/>
        </w:rPr>
      </w:pPr>
      <w:r>
        <w:rPr>
          <w:rFonts w:ascii="Times New Roman;DejaVu Sans" w:hAnsi="Times New Roman;DejaVu Sans" w:cs="Times New Roman;DejaVu Sans" w:eastAsia="仿宋_GB2312;微软雅黑"/>
          <w:sz w:val="32"/>
          <w:szCs w:val="32"/>
        </w:rPr>
        <w:t>本周国际部共对</w:t>
      </w:r>
      <w:r>
        <w:rPr>
          <w:rFonts w:eastAsia="仿宋_GB2312;微软雅黑" w:cs="Times New Roman;DejaVu Sans" w:ascii="Times New Roman;DejaVu Sans" w:hAnsi="Times New Roman;DejaVu Sans"/>
          <w:sz w:val="32"/>
          <w:szCs w:val="32"/>
          <w:lang w:val="en-US" w:eastAsia="zh-CN"/>
        </w:rPr>
        <w:t>1</w:t>
      </w:r>
      <w:r>
        <w:rPr>
          <w:rFonts w:ascii="Times New Roman;DejaVu Sans" w:hAnsi="Times New Roman;DejaVu Sans" w:cs="Times New Roman;DejaVu Sans" w:eastAsia="仿宋_GB2312;微软雅黑"/>
          <w:sz w:val="32"/>
          <w:szCs w:val="32"/>
          <w:lang w:val="en-US" w:eastAsia="zh-CN"/>
        </w:rPr>
        <w:t>家</w:t>
      </w:r>
      <w:r>
        <w:rPr>
          <w:rFonts w:ascii="Times New Roman;DejaVu Sans" w:hAnsi="Times New Roman;DejaVu Sans" w:cs="Times New Roman;DejaVu Sans" w:eastAsia="仿宋_GB2312;微软雅黑"/>
          <w:sz w:val="32"/>
          <w:szCs w:val="32"/>
        </w:rPr>
        <w:t>企业出具补充材料要求</w:t>
      </w:r>
      <w:r>
        <w:rPr>
          <w:rFonts w:ascii="Times New Roman;DejaVu Sans" w:hAnsi="Times New Roman;DejaVu Sans" w:cs="Times New Roman;DejaVu Sans" w:eastAsia="仿宋_GB2312;微软雅黑"/>
          <w:sz w:val="32"/>
          <w:szCs w:val="32"/>
          <w:lang w:eastAsia="zh-CN"/>
        </w:rPr>
        <w:t>，</w:t>
      </w:r>
      <w:r>
        <w:rPr>
          <w:rFonts w:ascii="Times New Roman;DejaVu Sans" w:hAnsi="Times New Roman;DejaVu Sans" w:cs="Times New Roman;DejaVu Sans" w:eastAsia="仿宋_GB2312;微软雅黑"/>
          <w:sz w:val="32"/>
          <w:szCs w:val="32"/>
        </w:rPr>
        <w:t>具体如下</w:t>
      </w:r>
      <w:r>
        <w:rPr>
          <w:rFonts w:ascii="Times New Roman;DejaVu Sans" w:hAnsi="Times New Roman;DejaVu Sans" w:cs="Times New Roman;DejaVu Sans" w:eastAsia="仿宋_GB2312;微软雅黑"/>
          <w:sz w:val="32"/>
          <w:szCs w:val="32"/>
          <w:lang w:eastAsia="zh-CN"/>
        </w:rPr>
        <w:t>：</w:t>
      </w:r>
    </w:p>
    <w:p>
      <w:pPr>
        <w:pStyle w:val="Normal"/>
        <w:suppressAutoHyphens w:val="true"/>
        <w:spacing w:lineRule="exact" w:line="560"/>
        <w:ind w:firstLine="641"/>
        <w:jc w:val="both"/>
        <w:rPr>
          <w:rFonts w:ascii="Times New Roman;DejaVu Sans" w:hAnsi="Times New Roman;DejaVu Sans" w:eastAsia="CESI仿宋-GB2312" w:cs="Times New Roman;DejaVu Sans"/>
          <w:sz w:val="32"/>
          <w:szCs w:val="32"/>
          <w:lang w:val="en-US" w:eastAsia="zh-CN"/>
        </w:rPr>
      </w:pPr>
      <w:r>
        <w:rPr>
          <w:rFonts w:ascii="Times New Roman;DejaVu Sans" w:hAnsi="Times New Roman;DejaVu Sans" w:cs="Times New Roman;DejaVu Sans" w:eastAsia="CESI仿宋-GB2312"/>
          <w:b/>
          <w:bCs/>
          <w:sz w:val="32"/>
          <w:szCs w:val="32"/>
          <w:lang w:val="en-US" w:eastAsia="zh-CN"/>
        </w:rPr>
        <w:t>星辉印刷</w:t>
      </w:r>
      <w:r>
        <w:rPr>
          <w:rFonts w:ascii="Times New Roman;DejaVu Sans" w:hAnsi="Times New Roman;DejaVu Sans" w:cs="Times New Roman;DejaVu Sans" w:eastAsia="CESI仿宋-GB2312"/>
          <w:b/>
          <w:bCs/>
          <w:sz w:val="32"/>
          <w:szCs w:val="32"/>
          <w:lang w:val="en" w:eastAsia="zh-CN"/>
        </w:rPr>
        <w:t>（秘交转公开）</w:t>
      </w:r>
    </w:p>
    <w:p>
      <w:pPr>
        <w:pStyle w:val="Normal"/>
        <w:suppressAutoHyphens w:val="true"/>
        <w:spacing w:lineRule="exact" w:line="560"/>
        <w:ind w:firstLine="640"/>
        <w:jc w:val="both"/>
        <w:rPr>
          <w:rFonts w:ascii="Times New Roman;DejaVu Sans" w:hAnsi="Times New Roman;DejaVu Sans" w:eastAsia="CESI仿宋-GB2312" w:cs="Times New Roman;DejaVu Sans"/>
          <w:sz w:val="32"/>
          <w:szCs w:val="32"/>
          <w:lang w:val="en" w:eastAsia="zh-CN"/>
        </w:rPr>
      </w:pP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请你公司就以下事项补充说明，请律师进行核查并出具明确的法律意见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" w:eastAsia="zh-CN"/>
        </w:rPr>
        <w:t>:</w:t>
      </w:r>
    </w:p>
    <w:p>
      <w:pPr>
        <w:pStyle w:val="Normal"/>
        <w:suppressAutoHyphens w:val="true"/>
        <w:spacing w:lineRule="exact" w:line="560"/>
        <w:ind w:firstLine="640"/>
        <w:jc w:val="both"/>
        <w:rPr>
          <w:rFonts w:ascii="Times New Roman;DejaVu Sans" w:hAnsi="Times New Roman;DejaVu Sans" w:eastAsia="CESI仿宋-GB2312" w:cs="Times New Roman;DejaVu Sans"/>
          <w:sz w:val="32"/>
          <w:szCs w:val="32"/>
          <w:lang w:val="en" w:eastAsia="zh-CN"/>
        </w:rPr>
      </w:pP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一是请说明你公司境内运营实体星辉印刷经营的业务是否属于《外商投资准入负面清单》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" w:eastAsia="zh-CN"/>
        </w:rPr>
        <w:t>(2021</w:t>
      </w: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年版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" w:eastAsia="zh-CN"/>
        </w:rPr>
        <w:t>)</w:t>
      </w: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规定的禁止或限制外资投资领域。</w:t>
      </w:r>
    </w:p>
    <w:p>
      <w:pPr>
        <w:pStyle w:val="Normal"/>
        <w:suppressAutoHyphens w:val="true"/>
        <w:spacing w:lineRule="exact" w:line="560"/>
        <w:ind w:firstLine="640"/>
        <w:jc w:val="both"/>
        <w:rPr>
          <w:rFonts w:ascii="Times New Roman;DejaVu Sans" w:hAnsi="Times New Roman;DejaVu Sans" w:eastAsia="CESI仿宋-GB2312" w:cs="Times New Roman;DejaVu Sans"/>
          <w:sz w:val="32"/>
          <w:szCs w:val="32"/>
          <w:lang w:val="en" w:eastAsia="zh-CN"/>
        </w:rPr>
      </w:pP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二是请说明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" w:eastAsia="zh-CN"/>
        </w:rPr>
        <w:t>Sky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-US" w:eastAsia="zh-CN"/>
        </w:rPr>
        <w:t xml:space="preserve"> 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" w:eastAsia="zh-CN"/>
        </w:rPr>
        <w:t>Way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-US" w:eastAsia="zh-CN"/>
        </w:rPr>
        <w:t xml:space="preserve"> </w:t>
      </w:r>
      <w:r>
        <w:rPr>
          <w:rFonts w:eastAsia="CESI仿宋-GB2312" w:cs="Times New Roman;DejaVu Sans" w:ascii="Times New Roman;DejaVu Sans" w:hAnsi="Times New Roman;DejaVu Sans"/>
          <w:sz w:val="32"/>
          <w:szCs w:val="32"/>
          <w:lang w:val="en" w:eastAsia="zh-CN"/>
        </w:rPr>
        <w:t>Network Group</w:t>
      </w: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与你公司实际控制人之间涉及星辉新发展股份相关交易的对价，以及其与实际控制人的关联关系情况。</w:t>
      </w:r>
    </w:p>
    <w:p>
      <w:pPr>
        <w:pStyle w:val="Normal"/>
        <w:suppressAutoHyphens w:val="true"/>
        <w:spacing w:lineRule="exact" w:line="560"/>
        <w:ind w:firstLine="640"/>
        <w:jc w:val="both"/>
        <w:rPr>
          <w:rFonts w:ascii="Times New Roman;DejaVu Sans" w:hAnsi="Times New Roman;DejaVu Sans" w:eastAsia="CESI仿宋-GB2312" w:cs="Times New Roman;DejaVu Sans"/>
          <w:sz w:val="32"/>
          <w:szCs w:val="32"/>
          <w:lang w:val="en" w:eastAsia="zh-CN"/>
        </w:rPr>
      </w:pPr>
      <w:r>
        <w:rPr>
          <w:rFonts w:ascii="Times New Roman;DejaVu Sans" w:hAnsi="Times New Roman;DejaVu Sans" w:cs="Times New Roman;DejaVu Sans" w:eastAsia="CESI仿宋-GB2312"/>
          <w:sz w:val="32"/>
          <w:szCs w:val="32"/>
          <w:lang w:val="en" w:eastAsia="zh-CN"/>
        </w:rPr>
        <w:t>三是请说明你公司供应商及客户集中度较高的原因及合理性，并说明主要供应商及客户与你公司实际控制人、实际控制人亲属、股东、董事、监事、高级管理人员控制的境内外实体之间的重大业务往来情况。</w:t>
      </w:r>
    </w:p>
    <w:p>
      <w:pPr>
        <w:pStyle w:val="Normal"/>
        <w:spacing w:lineRule="exact" w:line="560"/>
        <w:ind w:firstLine="640"/>
        <w:rPr>
          <w:rFonts w:ascii="Times New Roman;DejaVu Sans" w:hAnsi="Times New Roman;DejaVu Sans" w:eastAsia="仿宋_GB2312;微软雅黑" w:cs="Times New Roman;DejaVu Sans"/>
          <w:sz w:val="32"/>
          <w:szCs w:val="32"/>
          <w:lang w:val="en" w:eastAsia="zh-CN"/>
        </w:rPr>
      </w:pPr>
      <w:r>
        <w:rPr>
          <w:rFonts w:eastAsia="仿宋_GB2312;微软雅黑" w:cs="Times New Roman;DejaVu Sans" w:ascii="Times New Roman;DejaVu Sans" w:hAnsi="Times New Roman;DejaVu Sans"/>
          <w:sz w:val="32"/>
          <w:szCs w:val="32"/>
          <w:lang w:val="en" w:eastAsia="zh-CN"/>
        </w:rPr>
      </w:r>
    </w:p>
    <w:p>
      <w:pPr>
        <w:pStyle w:val="Normal"/>
        <w:rPr>
          <w:rFonts w:ascii="Times New Roman;DejaVu Sans" w:hAnsi="Times New Roman;DejaVu Sans" w:eastAsia="仿宋_GB2312;微软雅黑" w:cs="Times New Roman;DejaVu Sans"/>
          <w:sz w:val="32"/>
          <w:szCs w:val="32"/>
          <w:lang w:eastAsia="zh-CN"/>
        </w:rPr>
      </w:pPr>
      <w:r>
        <w:rPr>
          <w:rFonts w:eastAsia="仿宋_GB2312;微软雅黑" w:cs="Times New Roman;DejaVu Sans" w:ascii="Times New Roman;DejaVu Sans" w:hAnsi="Times New Roman;DejaVu Sans"/>
          <w:sz w:val="32"/>
          <w:szCs w:val="32"/>
          <w:lang w:eastAsia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Times New Roman">
    <w:altName w:val="DejaVu Sans"/>
    <w:charset w:val="00"/>
    <w:family w:val="roman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Calibri;微软雅黑" w:hAnsi="Calibri;微软雅黑" w:eastAsia="宋体;方正书宋_GBK" w:cs="Times New Roman;DejaVu Sans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2023-11-24T23:41:00Z</dcterms:created>
  <dc:creator>randz</dc:creator>
  <dc:description/>
  <dc:language>en-US</dc:language>
  <cp:lastModifiedBy>randz</cp:lastModifiedBy>
  <dcterms:modified xsi:type="dcterms:W3CDTF">2023-11-24T23:43:22Z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