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60" w:lineRule="exact"/>
        <w:ind w:left="0" w:leftChars="0" w:firstLine="0" w:firstLineChars="0"/>
        <w:jc w:val="center"/>
        <w:rPr>
          <w:rFonts w:ascii="Times New Roman" w:hAnsi="Times New Roman" w:eastAsia="方正大标宋简体"/>
          <w:bCs/>
          <w:sz w:val="36"/>
          <w:szCs w:val="36"/>
        </w:rPr>
      </w:pPr>
      <w:r>
        <w:rPr>
          <w:rFonts w:ascii="Times New Roman" w:hAnsi="Times New Roman" w:eastAsia="方正大标宋简体"/>
          <w:bCs/>
          <w:sz w:val="36"/>
          <w:szCs w:val="36"/>
        </w:rPr>
        <w:t>境外发行上市备案补充材料要求</w:t>
      </w:r>
    </w:p>
    <w:p>
      <w:pPr>
        <w:spacing w:line="560" w:lineRule="exact"/>
        <w:ind w:left="0" w:leftChars="0" w:firstLine="0" w:firstLineChars="0"/>
        <w:jc w:val="center"/>
        <w:rPr>
          <w:rFonts w:ascii="Times New Roman" w:hAnsi="Times New Roman" w:eastAsia="方正大标宋简体"/>
          <w:bCs/>
          <w:sz w:val="32"/>
          <w:szCs w:val="32"/>
        </w:rPr>
      </w:pPr>
      <w:r>
        <w:rPr>
          <w:rFonts w:ascii="Times New Roman" w:hAnsi="Times New Roman" w:eastAsia="方正大标宋简体"/>
          <w:bCs/>
          <w:sz w:val="32"/>
          <w:szCs w:val="32"/>
        </w:rPr>
        <w:t>（2023年</w:t>
      </w:r>
      <w:r>
        <w:rPr>
          <w:rFonts w:hint="eastAsia" w:ascii="Times New Roman" w:hAnsi="Times New Roman" w:eastAsia="方正大标宋简体"/>
          <w:bCs/>
          <w:sz w:val="32"/>
          <w:szCs w:val="32"/>
          <w:lang w:val="en-US" w:eastAsia="zh-CN"/>
        </w:rPr>
        <w:t>11</w:t>
      </w:r>
      <w:r>
        <w:rPr>
          <w:rFonts w:ascii="Times New Roman" w:hAnsi="Times New Roman" w:eastAsia="方正大标宋简体"/>
          <w:bCs/>
          <w:sz w:val="32"/>
          <w:szCs w:val="32"/>
        </w:rPr>
        <w:t>月</w:t>
      </w:r>
      <w:r>
        <w:rPr>
          <w:rFonts w:hint="eastAsia" w:ascii="Times New Roman" w:hAnsi="Times New Roman" w:eastAsia="方正大标宋简体"/>
          <w:bCs/>
          <w:sz w:val="32"/>
          <w:szCs w:val="32"/>
          <w:lang w:val="en-US" w:eastAsia="zh-CN"/>
        </w:rPr>
        <w:t>24</w:t>
      </w:r>
      <w:r>
        <w:rPr>
          <w:rFonts w:ascii="Times New Roman" w:hAnsi="Times New Roman" w:eastAsia="方正大标宋简体"/>
          <w:bCs/>
          <w:sz w:val="32"/>
          <w:szCs w:val="32"/>
        </w:rPr>
        <w:t>日—2023年</w:t>
      </w:r>
      <w:r>
        <w:rPr>
          <w:rFonts w:hint="eastAsia" w:ascii="Times New Roman" w:hAnsi="Times New Roman" w:eastAsia="方正大标宋简体"/>
          <w:bCs/>
          <w:sz w:val="32"/>
          <w:szCs w:val="32"/>
          <w:lang w:val="en-US" w:eastAsia="zh-CN"/>
        </w:rPr>
        <w:t>11</w:t>
      </w:r>
      <w:r>
        <w:rPr>
          <w:rFonts w:ascii="Times New Roman" w:hAnsi="Times New Roman" w:eastAsia="方正大标宋简体"/>
          <w:bCs/>
          <w:sz w:val="32"/>
          <w:szCs w:val="32"/>
        </w:rPr>
        <w:t>月</w:t>
      </w:r>
      <w:r>
        <w:rPr>
          <w:rFonts w:hint="eastAsia" w:ascii="Times New Roman" w:hAnsi="Times New Roman" w:eastAsia="方正大标宋简体"/>
          <w:bCs/>
          <w:sz w:val="32"/>
          <w:szCs w:val="32"/>
          <w:lang w:val="en-US" w:eastAsia="zh-CN"/>
        </w:rPr>
        <w:t>30</w:t>
      </w:r>
      <w:r>
        <w:rPr>
          <w:rFonts w:ascii="Times New Roman" w:hAnsi="Times New Roman" w:eastAsia="方正大标宋简体"/>
          <w:bCs/>
          <w:sz w:val="32"/>
          <w:szCs w:val="32"/>
        </w:rPr>
        <w:t>日）</w:t>
      </w:r>
    </w:p>
    <w:p>
      <w:pPr>
        <w:spacing w:line="560" w:lineRule="exact"/>
        <w:ind w:firstLine="560" w:firstLineChars="200"/>
        <w:jc w:val="center"/>
        <w:rPr>
          <w:rFonts w:ascii="Times New Roman" w:hAnsi="Times New Roman" w:eastAsia="sysfST"/>
          <w:b/>
          <w:sz w:val="28"/>
          <w:szCs w:val="28"/>
        </w:rPr>
      </w:pPr>
    </w:p>
    <w:p>
      <w:pPr>
        <w:spacing w:line="560" w:lineRule="exact"/>
        <w:ind w:firstLine="640" w:firstLineChars="200"/>
        <w:rPr>
          <w:rFonts w:hint="eastAsia" w:ascii="Times New Roman" w:hAnsi="Times New Roman" w:eastAsia="仿宋_GB2312"/>
          <w:sz w:val="32"/>
          <w:szCs w:val="32"/>
          <w:lang w:eastAsia="zh-CN"/>
        </w:rPr>
      </w:pPr>
      <w:r>
        <w:rPr>
          <w:rFonts w:ascii="Times New Roman" w:hAnsi="Times New Roman" w:eastAsia="仿宋_GB2312"/>
          <w:sz w:val="32"/>
          <w:szCs w:val="32"/>
        </w:rPr>
        <w:t>本周国际部共对</w:t>
      </w:r>
      <w:r>
        <w:rPr>
          <w:rFonts w:hint="eastAsia" w:ascii="Times New Roman" w:hAnsi="Times New Roman" w:eastAsia="仿宋_GB2312"/>
          <w:sz w:val="32"/>
          <w:szCs w:val="32"/>
          <w:highlight w:val="none"/>
          <w:lang w:val="en-US" w:eastAsia="zh-CN"/>
        </w:rPr>
        <w:t>2家</w:t>
      </w:r>
      <w:r>
        <w:rPr>
          <w:rFonts w:ascii="Times New Roman" w:hAnsi="Times New Roman" w:eastAsia="仿宋_GB2312"/>
          <w:sz w:val="32"/>
          <w:szCs w:val="32"/>
        </w:rPr>
        <w:t>企业出具补充材料要求</w:t>
      </w:r>
      <w:r>
        <w:rPr>
          <w:rFonts w:hint="eastAsia" w:ascii="Times New Roman" w:hAnsi="Times New Roman" w:eastAsia="仿宋_GB2312"/>
          <w:sz w:val="32"/>
          <w:szCs w:val="32"/>
          <w:lang w:eastAsia="zh-CN"/>
        </w:rPr>
        <w:t>，</w:t>
      </w:r>
      <w:r>
        <w:rPr>
          <w:rFonts w:ascii="Times New Roman" w:hAnsi="Times New Roman" w:eastAsia="仿宋_GB2312"/>
          <w:sz w:val="32"/>
          <w:szCs w:val="32"/>
        </w:rPr>
        <w:t>具体如下</w:t>
      </w:r>
      <w:r>
        <w:rPr>
          <w:rFonts w:hint="eastAsia" w:ascii="Times New Roman" w:hAnsi="Times New Roman" w:eastAsia="仿宋_GB2312"/>
          <w:sz w:val="32"/>
          <w:szCs w:val="32"/>
          <w:lang w:eastAsia="zh-CN"/>
        </w:rPr>
        <w:t>：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Times New Roman" w:hAnsi="Times New Roman" w:eastAsia="方正黑体_GBK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黑体_GBK"/>
          <w:sz w:val="32"/>
          <w:szCs w:val="32"/>
          <w:lang w:val="en-US" w:eastAsia="zh-CN"/>
        </w:rPr>
        <w:t>托古恩环球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CESI仿宋-GB13000" w:hAnsi="CESI仿宋-GB13000" w:eastAsia="CESI仿宋-GB13000" w:cs="CESI仿宋-GB13000"/>
          <w:sz w:val="32"/>
          <w:szCs w:val="32"/>
          <w:lang w:val="en-US" w:eastAsia="zh-CN"/>
        </w:rPr>
      </w:pPr>
      <w:r>
        <w:rPr>
          <w:rFonts w:hint="eastAsia" w:ascii="CESI仿宋-GB13000" w:hAnsi="CESI仿宋-GB13000" w:eastAsia="CESI仿宋-GB13000" w:cs="CESI仿宋-GB13000"/>
          <w:sz w:val="32"/>
          <w:szCs w:val="32"/>
          <w:lang w:val="en-US" w:eastAsia="zh-CN"/>
        </w:rPr>
        <w:t>请你公司补充说明以下事项，请律师核查并出具明确的法律意见：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CESI仿宋-GB13000" w:hAnsi="CESI仿宋-GB13000" w:eastAsia="CESI仿宋-GB13000" w:cs="CESI仿宋-GB13000"/>
          <w:sz w:val="32"/>
          <w:szCs w:val="32"/>
          <w:lang w:val="en-US" w:eastAsia="zh-CN"/>
        </w:rPr>
      </w:pPr>
      <w:r>
        <w:rPr>
          <w:rFonts w:hint="default" w:ascii="CESI仿宋-GB13000" w:hAnsi="CESI仿宋-GB13000" w:eastAsia="CESI仿宋-GB13000" w:cs="CESI仿宋-GB13000"/>
          <w:sz w:val="32"/>
          <w:szCs w:val="32"/>
          <w:lang w:val="en-US" w:eastAsia="zh-CN"/>
        </w:rPr>
        <w:t>一、关于境外投资及返程并购的合规性，请你公司说明：（</w:t>
      </w:r>
      <w:r>
        <w:rPr>
          <w:rFonts w:hint="default" w:ascii="Times New Roman" w:hAnsi="Times New Roman" w:eastAsia="仿宋_GB2312"/>
          <w:sz w:val="32"/>
          <w:szCs w:val="32"/>
          <w:highlight w:val="none"/>
          <w:lang w:val="en-US" w:eastAsia="zh-CN"/>
        </w:rPr>
        <w:t>1</w:t>
      </w:r>
      <w:r>
        <w:rPr>
          <w:rFonts w:hint="default" w:ascii="CESI仿宋-GB13000" w:hAnsi="CESI仿宋-GB13000" w:eastAsia="CESI仿宋-GB13000" w:cs="CESI仿宋-GB13000"/>
          <w:sz w:val="32"/>
          <w:szCs w:val="32"/>
          <w:lang w:val="en-US" w:eastAsia="zh-CN"/>
        </w:rPr>
        <w:t>）你公司境内自然人股东胡歆、胡正明、梁广仁履行境外投资及外汇登记监管程序的情况；（</w:t>
      </w:r>
      <w:r>
        <w:rPr>
          <w:rFonts w:hint="default" w:ascii="Times New Roman" w:hAnsi="Times New Roman" w:eastAsia="仿宋_GB2312"/>
          <w:sz w:val="32"/>
          <w:szCs w:val="32"/>
          <w:highlight w:val="none"/>
          <w:lang w:val="en-US" w:eastAsia="zh-CN"/>
        </w:rPr>
        <w:t>2</w:t>
      </w:r>
      <w:r>
        <w:rPr>
          <w:rFonts w:hint="default" w:ascii="CESI仿宋-GB13000" w:hAnsi="CESI仿宋-GB13000" w:eastAsia="CESI仿宋-GB13000" w:cs="CESI仿宋-GB13000"/>
          <w:sz w:val="32"/>
          <w:szCs w:val="32"/>
          <w:lang w:val="en-US" w:eastAsia="zh-CN"/>
        </w:rPr>
        <w:t>）华茂（香港）科技有限公司（以下简称“华茂香港”）、</w:t>
      </w:r>
      <w:r>
        <w:rPr>
          <w:rFonts w:hint="default" w:ascii="Times New Roman" w:hAnsi="Times New Roman" w:eastAsia="仿宋_GB2312"/>
          <w:sz w:val="32"/>
          <w:szCs w:val="32"/>
          <w:highlight w:val="none"/>
          <w:lang w:val="en-US" w:eastAsia="zh-CN"/>
        </w:rPr>
        <w:t>TOKUEN HK LIMITED</w:t>
      </w:r>
      <w:r>
        <w:rPr>
          <w:rFonts w:hint="default" w:ascii="CESI仿宋-GB13000" w:hAnsi="CESI仿宋-GB13000" w:eastAsia="CESI仿宋-GB13000" w:cs="CESI仿宋-GB13000"/>
          <w:sz w:val="32"/>
          <w:szCs w:val="32"/>
          <w:lang w:val="en-US" w:eastAsia="zh-CN"/>
        </w:rPr>
        <w:t>增资上海振标集装箱运输有限公司（以下简称“上海振标”）的价格及定价依据，以及增资款实缴情况；（</w:t>
      </w:r>
      <w:r>
        <w:rPr>
          <w:rFonts w:hint="default" w:ascii="Times New Roman" w:hAnsi="Times New Roman" w:eastAsia="仿宋_GB2312"/>
          <w:sz w:val="32"/>
          <w:szCs w:val="32"/>
          <w:highlight w:val="none"/>
          <w:lang w:val="en-US" w:eastAsia="zh-CN"/>
        </w:rPr>
        <w:t>3</w:t>
      </w:r>
      <w:r>
        <w:rPr>
          <w:rFonts w:hint="default" w:ascii="CESI仿宋-GB13000" w:hAnsi="CESI仿宋-GB13000" w:eastAsia="CESI仿宋-GB13000" w:cs="CESI仿宋-GB13000"/>
          <w:sz w:val="32"/>
          <w:szCs w:val="32"/>
          <w:lang w:val="en-US" w:eastAsia="zh-CN"/>
        </w:rPr>
        <w:t>）</w:t>
      </w:r>
      <w:r>
        <w:rPr>
          <w:rFonts w:hint="default" w:ascii="Times New Roman" w:hAnsi="Times New Roman" w:eastAsia="仿宋_GB2312"/>
          <w:sz w:val="32"/>
          <w:szCs w:val="32"/>
          <w:highlight w:val="none"/>
          <w:lang w:val="en-US" w:eastAsia="zh-CN"/>
        </w:rPr>
        <w:t>TOKUEN HK LIMITED</w:t>
      </w:r>
      <w:r>
        <w:rPr>
          <w:rFonts w:hint="default" w:ascii="CESI仿宋-GB13000" w:hAnsi="CESI仿宋-GB13000" w:eastAsia="CESI仿宋-GB13000" w:cs="CESI仿宋-GB13000"/>
          <w:sz w:val="32"/>
          <w:szCs w:val="32"/>
          <w:lang w:val="en-US" w:eastAsia="zh-CN"/>
        </w:rPr>
        <w:t>收购俞进标、李金兰所持上海振标股权的价格、定价依据及税费缴纳情况；（</w:t>
      </w:r>
      <w:r>
        <w:rPr>
          <w:rFonts w:hint="default" w:ascii="Times New Roman" w:hAnsi="Times New Roman" w:eastAsia="仿宋_GB2312"/>
          <w:sz w:val="32"/>
          <w:szCs w:val="32"/>
          <w:highlight w:val="none"/>
          <w:lang w:val="en-US" w:eastAsia="zh-CN"/>
        </w:rPr>
        <w:t>4</w:t>
      </w:r>
      <w:r>
        <w:rPr>
          <w:rFonts w:hint="default" w:ascii="CESI仿宋-GB13000" w:hAnsi="CESI仿宋-GB13000" w:eastAsia="CESI仿宋-GB13000" w:cs="CESI仿宋-GB13000"/>
          <w:sz w:val="32"/>
          <w:szCs w:val="32"/>
          <w:lang w:val="en-US" w:eastAsia="zh-CN"/>
        </w:rPr>
        <w:t>）华茂香港、</w:t>
      </w:r>
      <w:r>
        <w:rPr>
          <w:rFonts w:hint="default" w:ascii="Times New Roman" w:hAnsi="Times New Roman" w:eastAsia="仿宋_GB2312"/>
          <w:sz w:val="32"/>
          <w:szCs w:val="32"/>
          <w:highlight w:val="none"/>
          <w:lang w:val="en-US" w:eastAsia="zh-CN"/>
        </w:rPr>
        <w:t>TOKUEN HK LIMITED</w:t>
      </w:r>
      <w:r>
        <w:rPr>
          <w:rFonts w:hint="default" w:ascii="CESI仿宋-GB13000" w:hAnsi="CESI仿宋-GB13000" w:eastAsia="CESI仿宋-GB13000" w:cs="CESI仿宋-GB13000"/>
          <w:sz w:val="32"/>
          <w:szCs w:val="32"/>
          <w:lang w:val="en-US" w:eastAsia="zh-CN"/>
        </w:rPr>
        <w:t>通过增资及股权收购取得上海振标权益是否符合《关于外国投资者并购境内企业的规定》；（</w:t>
      </w:r>
      <w:r>
        <w:rPr>
          <w:rFonts w:hint="default" w:ascii="Times New Roman" w:hAnsi="Times New Roman" w:eastAsia="仿宋_GB2312"/>
          <w:sz w:val="32"/>
          <w:szCs w:val="32"/>
          <w:highlight w:val="none"/>
          <w:lang w:val="en-US" w:eastAsia="zh-CN"/>
        </w:rPr>
        <w:t>5</w:t>
      </w:r>
      <w:r>
        <w:rPr>
          <w:rFonts w:hint="default" w:ascii="CESI仿宋-GB13000" w:hAnsi="CESI仿宋-GB13000" w:eastAsia="CESI仿宋-GB13000" w:cs="CESI仿宋-GB13000"/>
          <w:sz w:val="32"/>
          <w:szCs w:val="32"/>
          <w:lang w:val="en-US" w:eastAsia="zh-CN"/>
        </w:rPr>
        <w:t>）上海振标、上海拓古恩供应链有限公司（以下简称“拓古恩供应链”）是否履行《外商投资信息报告办法》规定的报告义务；（</w:t>
      </w:r>
      <w:r>
        <w:rPr>
          <w:rFonts w:hint="default" w:ascii="Times New Roman" w:hAnsi="Times New Roman" w:eastAsia="仿宋_GB2312"/>
          <w:sz w:val="32"/>
          <w:szCs w:val="32"/>
          <w:highlight w:val="none"/>
          <w:lang w:val="en-US" w:eastAsia="zh-CN"/>
        </w:rPr>
        <w:t>6</w:t>
      </w:r>
      <w:r>
        <w:rPr>
          <w:rFonts w:hint="default" w:ascii="CESI仿宋-GB13000" w:hAnsi="CESI仿宋-GB13000" w:eastAsia="CESI仿宋-GB13000" w:cs="CESI仿宋-GB13000"/>
          <w:sz w:val="32"/>
          <w:szCs w:val="32"/>
          <w:lang w:val="en-US" w:eastAsia="zh-CN"/>
        </w:rPr>
        <w:t>）境外搭建离岸架构和返程投资涉及的外汇登记、境外投资、外商投资、税费缴纳等监管程序合法合规的结论性意见。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CESI仿宋-GB13000" w:hAnsi="CESI仿宋-GB13000" w:eastAsia="CESI仿宋-GB13000" w:cs="CESI仿宋-GB13000"/>
          <w:sz w:val="32"/>
          <w:szCs w:val="32"/>
          <w:lang w:val="en-US" w:eastAsia="zh-CN"/>
        </w:rPr>
      </w:pPr>
      <w:r>
        <w:rPr>
          <w:rFonts w:hint="default" w:ascii="CESI仿宋-GB13000" w:hAnsi="CESI仿宋-GB13000" w:eastAsia="CESI仿宋-GB13000" w:cs="CESI仿宋-GB13000"/>
          <w:sz w:val="32"/>
          <w:szCs w:val="32"/>
          <w:lang w:val="en-US" w:eastAsia="zh-CN"/>
        </w:rPr>
        <w:t>二、关于最近一年新入股股东情况，请你公司说明：（</w:t>
      </w:r>
      <w:r>
        <w:rPr>
          <w:rFonts w:hint="default" w:ascii="Times New Roman" w:hAnsi="Times New Roman" w:eastAsia="仿宋_GB2312"/>
          <w:sz w:val="32"/>
          <w:szCs w:val="32"/>
          <w:highlight w:val="none"/>
          <w:lang w:val="en-US" w:eastAsia="zh-CN"/>
        </w:rPr>
        <w:t>1</w:t>
      </w:r>
      <w:r>
        <w:rPr>
          <w:rFonts w:hint="default" w:ascii="CESI仿宋-GB13000" w:hAnsi="CESI仿宋-GB13000" w:eastAsia="CESI仿宋-GB13000" w:cs="CESI仿宋-GB13000"/>
          <w:sz w:val="32"/>
          <w:szCs w:val="32"/>
          <w:lang w:val="en-US" w:eastAsia="zh-CN"/>
        </w:rPr>
        <w:t>）</w:t>
      </w:r>
      <w:r>
        <w:rPr>
          <w:rFonts w:hint="default" w:ascii="Times New Roman" w:hAnsi="Times New Roman" w:eastAsia="仿宋_GB2312"/>
          <w:sz w:val="32"/>
          <w:szCs w:val="32"/>
          <w:highlight w:val="none"/>
          <w:lang w:val="en-US" w:eastAsia="zh-CN"/>
        </w:rPr>
        <w:t>Amoebas Alliance Limited、H&amp;H Alliance Limited、Z&amp;B Cargo Limited、GOLDEN WORLD CONSULTANTS LIMITED</w:t>
      </w:r>
      <w:r>
        <w:rPr>
          <w:rFonts w:hint="default" w:ascii="CESI仿宋-GB13000" w:hAnsi="CESI仿宋-GB13000" w:eastAsia="CESI仿宋-GB13000" w:cs="CESI仿宋-GB13000"/>
          <w:sz w:val="32"/>
          <w:szCs w:val="32"/>
          <w:lang w:val="en-US" w:eastAsia="zh-CN"/>
        </w:rPr>
        <w:t>的入股价格及定价依据；（</w:t>
      </w:r>
      <w:r>
        <w:rPr>
          <w:rFonts w:hint="default" w:ascii="Times New Roman" w:hAnsi="Times New Roman" w:eastAsia="仿宋_GB2312"/>
          <w:sz w:val="32"/>
          <w:szCs w:val="32"/>
          <w:highlight w:val="none"/>
          <w:lang w:val="en-US" w:eastAsia="zh-CN"/>
        </w:rPr>
        <w:t>2</w:t>
      </w:r>
      <w:r>
        <w:rPr>
          <w:rFonts w:hint="default" w:ascii="CESI仿宋-GB13000" w:hAnsi="CESI仿宋-GB13000" w:eastAsia="CESI仿宋-GB13000" w:cs="CESI仿宋-GB13000"/>
          <w:sz w:val="32"/>
          <w:szCs w:val="32"/>
          <w:lang w:val="en-US" w:eastAsia="zh-CN"/>
        </w:rPr>
        <w:t>）</w:t>
      </w:r>
      <w:r>
        <w:rPr>
          <w:rFonts w:hint="default" w:ascii="Times New Roman" w:hAnsi="Times New Roman" w:eastAsia="仿宋_GB2312"/>
          <w:sz w:val="32"/>
          <w:szCs w:val="32"/>
          <w:highlight w:val="none"/>
          <w:lang w:val="en-US" w:eastAsia="zh-CN"/>
        </w:rPr>
        <w:t>TOP HARVEST VENTURES LIMITED、KEEN SKY GLOBAL LIMITED</w:t>
      </w:r>
      <w:r>
        <w:rPr>
          <w:rFonts w:hint="default" w:ascii="CESI仿宋-GB13000" w:hAnsi="CESI仿宋-GB13000" w:eastAsia="CESI仿宋-GB13000" w:cs="CESI仿宋-GB13000"/>
          <w:sz w:val="32"/>
          <w:szCs w:val="32"/>
          <w:lang w:val="en-US" w:eastAsia="zh-CN"/>
        </w:rPr>
        <w:t>分别于</w:t>
      </w:r>
      <w:r>
        <w:rPr>
          <w:rFonts w:hint="default" w:ascii="Times New Roman" w:hAnsi="Times New Roman" w:eastAsia="仿宋_GB2312"/>
          <w:sz w:val="32"/>
          <w:szCs w:val="32"/>
          <w:highlight w:val="none"/>
          <w:lang w:val="en-US" w:eastAsia="zh-CN"/>
        </w:rPr>
        <w:t>2023</w:t>
      </w:r>
      <w:r>
        <w:rPr>
          <w:rFonts w:hint="default" w:ascii="CESI仿宋-GB13000" w:hAnsi="CESI仿宋-GB13000" w:eastAsia="CESI仿宋-GB13000" w:cs="CESI仿宋-GB13000"/>
          <w:sz w:val="32"/>
          <w:szCs w:val="32"/>
          <w:lang w:val="en-US" w:eastAsia="zh-CN"/>
        </w:rPr>
        <w:t>年</w:t>
      </w:r>
      <w:r>
        <w:rPr>
          <w:rFonts w:hint="default" w:ascii="Times New Roman" w:hAnsi="Times New Roman" w:eastAsia="仿宋_GB2312"/>
          <w:sz w:val="32"/>
          <w:szCs w:val="32"/>
          <w:highlight w:val="none"/>
          <w:lang w:val="en-US" w:eastAsia="zh-CN"/>
        </w:rPr>
        <w:t>1</w:t>
      </w:r>
      <w:r>
        <w:rPr>
          <w:rFonts w:hint="default" w:ascii="CESI仿宋-GB13000" w:hAnsi="CESI仿宋-GB13000" w:eastAsia="CESI仿宋-GB13000" w:cs="CESI仿宋-GB13000"/>
          <w:sz w:val="32"/>
          <w:szCs w:val="32"/>
          <w:lang w:val="en-US" w:eastAsia="zh-CN"/>
        </w:rPr>
        <w:t>月和</w:t>
      </w:r>
      <w:r>
        <w:rPr>
          <w:rFonts w:hint="default" w:ascii="Times New Roman" w:hAnsi="Times New Roman" w:eastAsia="仿宋_GB2312"/>
          <w:sz w:val="32"/>
          <w:szCs w:val="32"/>
          <w:highlight w:val="none"/>
          <w:lang w:val="en-US" w:eastAsia="zh-CN"/>
        </w:rPr>
        <w:t>2</w:t>
      </w:r>
      <w:r>
        <w:rPr>
          <w:rFonts w:hint="default" w:ascii="CESI仿宋-GB13000" w:hAnsi="CESI仿宋-GB13000" w:eastAsia="CESI仿宋-GB13000" w:cs="CESI仿宋-GB13000"/>
          <w:sz w:val="32"/>
          <w:szCs w:val="32"/>
          <w:lang w:val="en-US" w:eastAsia="zh-CN"/>
        </w:rPr>
        <w:t>月取得你公司股份，但入股价格差异较大，请说明具体原因及是否存在利益输送。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CESI仿宋-GB13000" w:hAnsi="CESI仿宋-GB13000" w:eastAsia="CESI仿宋-GB13000" w:cs="CESI仿宋-GB13000"/>
          <w:sz w:val="32"/>
          <w:szCs w:val="32"/>
          <w:lang w:val="en-US" w:eastAsia="zh-CN"/>
        </w:rPr>
      </w:pPr>
      <w:r>
        <w:rPr>
          <w:rFonts w:hint="default" w:ascii="CESI仿宋-GB13000" w:hAnsi="CESI仿宋-GB13000" w:eastAsia="CESI仿宋-GB13000" w:cs="CESI仿宋-GB13000"/>
          <w:sz w:val="32"/>
          <w:szCs w:val="32"/>
          <w:lang w:val="en-US" w:eastAsia="zh-CN"/>
        </w:rPr>
        <w:t>三、关于股份代持情况，俞进标、李金兰曾分别代胡歆、梁广仁持有上海振标的股份，请说明上述股份代持形成的原因、演变情况、合法合规性、是否存在纠纷或潜在纠纷、是否存在法律法规规定禁止持股主体直接或间接持股的情形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CESI仿宋-GB13000" w:hAnsi="CESI仿宋-GB13000" w:eastAsia="CESI仿宋-GB13000" w:cs="CESI仿宋-GB13000"/>
          <w:sz w:val="32"/>
          <w:szCs w:val="32"/>
          <w:lang w:val="en-US" w:eastAsia="zh-CN"/>
        </w:rPr>
      </w:pPr>
      <w:r>
        <w:rPr>
          <w:rFonts w:hint="default" w:ascii="CESI仿宋-GB13000" w:hAnsi="CESI仿宋-GB13000" w:eastAsia="CESI仿宋-GB13000" w:cs="CESI仿宋-GB13000"/>
          <w:sz w:val="32"/>
          <w:szCs w:val="32"/>
          <w:lang w:val="en-US" w:eastAsia="zh-CN"/>
        </w:rPr>
        <w:t>四、关于财务数据情况，请你公司列表说明报告期内营业收入、利润总额、净利润、总资产、净资产、现金流量情况。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CESI仿宋-GB13000" w:hAnsi="CESI仿宋-GB13000" w:eastAsia="CESI仿宋-GB13000" w:cs="CESI仿宋-GB13000"/>
          <w:sz w:val="32"/>
          <w:szCs w:val="32"/>
          <w:lang w:val="en-US" w:eastAsia="zh-CN"/>
        </w:rPr>
      </w:pPr>
      <w:r>
        <w:rPr>
          <w:rFonts w:hint="default" w:ascii="CESI仿宋-GB13000" w:hAnsi="CESI仿宋-GB13000" w:eastAsia="CESI仿宋-GB13000" w:cs="CESI仿宋-GB13000"/>
          <w:sz w:val="32"/>
          <w:szCs w:val="32"/>
          <w:lang w:val="en-US" w:eastAsia="zh-CN"/>
        </w:rPr>
        <w:t>五、关于境内运营实体情况，请你公司说明：（</w:t>
      </w:r>
      <w:r>
        <w:rPr>
          <w:rFonts w:hint="default" w:ascii="Times New Roman" w:hAnsi="Times New Roman" w:eastAsia="仿宋_GB2312"/>
          <w:sz w:val="32"/>
          <w:szCs w:val="32"/>
          <w:highlight w:val="none"/>
          <w:lang w:val="en-US" w:eastAsia="zh-CN"/>
        </w:rPr>
        <w:t>1</w:t>
      </w:r>
      <w:r>
        <w:rPr>
          <w:rFonts w:hint="default" w:ascii="CESI仿宋-GB13000" w:hAnsi="CESI仿宋-GB13000" w:eastAsia="CESI仿宋-GB13000" w:cs="CESI仿宋-GB13000"/>
          <w:sz w:val="32"/>
          <w:szCs w:val="32"/>
          <w:lang w:val="en-US" w:eastAsia="zh-CN"/>
        </w:rPr>
        <w:t>）境内运营实体设立及历次股权变动均合法合规的结论性意见；（</w:t>
      </w:r>
      <w:r>
        <w:rPr>
          <w:rFonts w:hint="default" w:ascii="Times New Roman" w:hAnsi="Times New Roman" w:eastAsia="仿宋_GB2312"/>
          <w:sz w:val="32"/>
          <w:szCs w:val="32"/>
          <w:highlight w:val="none"/>
          <w:lang w:val="en-US" w:eastAsia="zh-CN"/>
        </w:rPr>
        <w:t>2</w:t>
      </w:r>
      <w:r>
        <w:rPr>
          <w:rFonts w:hint="default" w:ascii="CESI仿宋-GB13000" w:hAnsi="CESI仿宋-GB13000" w:eastAsia="CESI仿宋-GB13000" w:cs="CESI仿宋-GB13000"/>
          <w:sz w:val="32"/>
          <w:szCs w:val="32"/>
          <w:lang w:val="en-US" w:eastAsia="zh-CN"/>
        </w:rPr>
        <w:t>）上海振标第一次至第三次股权转让的税费缴纳情况；（</w:t>
      </w:r>
      <w:r>
        <w:rPr>
          <w:rFonts w:hint="default" w:ascii="Times New Roman" w:hAnsi="Times New Roman" w:eastAsia="仿宋_GB2312"/>
          <w:sz w:val="32"/>
          <w:szCs w:val="32"/>
          <w:highlight w:val="none"/>
          <w:lang w:val="en-US" w:eastAsia="zh-CN"/>
        </w:rPr>
        <w:t>3</w:t>
      </w:r>
      <w:r>
        <w:rPr>
          <w:rFonts w:hint="default" w:ascii="CESI仿宋-GB13000" w:hAnsi="CESI仿宋-GB13000" w:eastAsia="CESI仿宋-GB13000" w:cs="CESI仿宋-GB13000"/>
          <w:sz w:val="32"/>
          <w:szCs w:val="32"/>
          <w:lang w:val="en-US" w:eastAsia="zh-CN"/>
        </w:rPr>
        <w:t>）列表说明上海振标重大合同的具体情况，包括合同相对方、合同金额、履行情况等，以及除了不存在向金融机构借用资金外，是否存在其他重大债权债务关系；（</w:t>
      </w:r>
      <w:r>
        <w:rPr>
          <w:rFonts w:hint="default" w:ascii="Times New Roman" w:hAnsi="Times New Roman" w:eastAsia="仿宋_GB2312"/>
          <w:sz w:val="32"/>
          <w:szCs w:val="32"/>
          <w:highlight w:val="none"/>
          <w:lang w:val="en-US" w:eastAsia="zh-CN"/>
        </w:rPr>
        <w:t>4</w:t>
      </w:r>
      <w:r>
        <w:rPr>
          <w:rFonts w:hint="default" w:ascii="CESI仿宋-GB13000" w:hAnsi="CESI仿宋-GB13000" w:eastAsia="CESI仿宋-GB13000" w:cs="CESI仿宋-GB13000"/>
          <w:sz w:val="32"/>
          <w:szCs w:val="32"/>
          <w:lang w:val="en-US" w:eastAsia="zh-CN"/>
        </w:rPr>
        <w:t>）上海振标是否存在被行政处罚的情形，是否存在未决诉讼、仲裁案件，如有，请说明具体情况及是否构成本次发行上市的实质性障碍；（</w:t>
      </w:r>
      <w:r>
        <w:rPr>
          <w:rFonts w:hint="default" w:ascii="Times New Roman" w:hAnsi="Times New Roman" w:eastAsia="仿宋_GB2312"/>
          <w:sz w:val="32"/>
          <w:szCs w:val="32"/>
          <w:highlight w:val="none"/>
          <w:lang w:val="en-US" w:eastAsia="zh-CN"/>
        </w:rPr>
        <w:t>5</w:t>
      </w:r>
      <w:r>
        <w:rPr>
          <w:rFonts w:hint="default" w:ascii="CESI仿宋-GB13000" w:hAnsi="CESI仿宋-GB13000" w:eastAsia="CESI仿宋-GB13000" w:cs="CESI仿宋-GB13000"/>
          <w:sz w:val="32"/>
          <w:szCs w:val="32"/>
          <w:lang w:val="en-US" w:eastAsia="zh-CN"/>
        </w:rPr>
        <w:t>）上海振标、拓古恩供应链注册资本未缴足的原因及合规性，是否对公司业务运营和偿债能力造成重大影响。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CESI仿宋-GB13000" w:hAnsi="CESI仿宋-GB13000" w:eastAsia="CESI仿宋-GB13000" w:cs="CESI仿宋-GB13000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Times New Roman" w:hAnsi="Times New Roman" w:eastAsia="方正黑体_GBK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黑体_GBK"/>
          <w:sz w:val="32"/>
          <w:szCs w:val="32"/>
          <w:lang w:val="en-US" w:eastAsia="zh-CN"/>
        </w:rPr>
        <w:t>龙蟠科技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CESI仿宋-GB13000" w:hAnsi="CESI仿宋-GB13000" w:eastAsia="CESI仿宋-GB13000" w:cs="CESI仿宋-GB13000"/>
          <w:sz w:val="32"/>
          <w:szCs w:val="32"/>
          <w:lang w:val="en-US" w:eastAsia="zh-CN"/>
        </w:rPr>
      </w:pPr>
      <w:r>
        <w:rPr>
          <w:rFonts w:hint="default" w:ascii="CESI仿宋-GB13000" w:hAnsi="CESI仿宋-GB13000" w:eastAsia="CESI仿宋-GB13000" w:cs="CESI仿宋-GB13000"/>
          <w:sz w:val="32"/>
          <w:szCs w:val="32"/>
          <w:lang w:val="en-US" w:eastAsia="zh-CN"/>
        </w:rPr>
        <w:t>请你公司就以下事项补充说明，请律师进行核查并出具明确的法律意见：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CESI仿宋-GB13000" w:hAnsi="CESI仿宋-GB13000" w:eastAsia="CESI仿宋-GB13000" w:cs="CESI仿宋-GB13000"/>
          <w:sz w:val="32"/>
          <w:szCs w:val="32"/>
          <w:lang w:val="en-US" w:eastAsia="zh-CN"/>
        </w:rPr>
      </w:pPr>
      <w:r>
        <w:rPr>
          <w:rFonts w:hint="eastAsia" w:ascii="CESI仿宋-GB13000" w:hAnsi="CESI仿宋-GB13000" w:eastAsia="CESI仿宋-GB13000" w:cs="CESI仿宋-GB13000"/>
          <w:sz w:val="32"/>
          <w:szCs w:val="32"/>
          <w:lang w:val="en-US" w:eastAsia="zh-CN"/>
        </w:rPr>
        <w:t>一、</w:t>
      </w:r>
      <w:r>
        <w:rPr>
          <w:rFonts w:hint="default" w:ascii="CESI仿宋-GB13000" w:hAnsi="CESI仿宋-GB13000" w:eastAsia="CESI仿宋-GB13000" w:cs="CESI仿宋-GB13000"/>
          <w:sz w:val="32"/>
          <w:szCs w:val="32"/>
          <w:lang w:val="en-US" w:eastAsia="zh-CN"/>
        </w:rPr>
        <w:t>你公司</w:t>
      </w:r>
      <w:r>
        <w:rPr>
          <w:rFonts w:hint="default" w:ascii="Times New Roman" w:hAnsi="Times New Roman" w:eastAsia="仿宋_GB2312"/>
          <w:sz w:val="32"/>
          <w:szCs w:val="32"/>
          <w:highlight w:val="none"/>
          <w:lang w:val="en-US" w:eastAsia="zh-CN"/>
        </w:rPr>
        <w:t>20</w:t>
      </w:r>
      <w:r>
        <w:rPr>
          <w:rFonts w:hint="eastAsia" w:ascii="Times New Roman" w:hAnsi="Times New Roman" w:eastAsia="仿宋_GB2312"/>
          <w:sz w:val="32"/>
          <w:szCs w:val="32"/>
          <w:highlight w:val="none"/>
          <w:lang w:val="en-US" w:eastAsia="zh-CN"/>
        </w:rPr>
        <w:t>2</w:t>
      </w:r>
      <w:r>
        <w:rPr>
          <w:rFonts w:hint="default" w:ascii="Times New Roman" w:hAnsi="Times New Roman" w:eastAsia="仿宋_GB2312"/>
          <w:sz w:val="32"/>
          <w:szCs w:val="32"/>
          <w:highlight w:val="none"/>
          <w:lang w:val="en-US" w:eastAsia="zh-CN"/>
        </w:rPr>
        <w:t>3</w:t>
      </w:r>
      <w:r>
        <w:rPr>
          <w:rFonts w:hint="default" w:ascii="CESI仿宋-GB13000" w:hAnsi="CESI仿宋-GB13000" w:eastAsia="CESI仿宋-GB13000" w:cs="CESI仿宋-GB13000"/>
          <w:sz w:val="32"/>
          <w:szCs w:val="32"/>
          <w:lang w:val="en-US" w:eastAsia="zh-CN"/>
        </w:rPr>
        <w:t>年</w:t>
      </w:r>
      <w:r>
        <w:rPr>
          <w:rFonts w:hint="default" w:ascii="Times New Roman" w:hAnsi="Times New Roman" w:eastAsia="仿宋_GB2312"/>
          <w:sz w:val="32"/>
          <w:szCs w:val="32"/>
          <w:highlight w:val="none"/>
          <w:lang w:val="en-US" w:eastAsia="zh-CN"/>
        </w:rPr>
        <w:t>1-9</w:t>
      </w:r>
      <w:r>
        <w:rPr>
          <w:rFonts w:hint="default" w:ascii="CESI仿宋-GB13000" w:hAnsi="CESI仿宋-GB13000" w:eastAsia="CESI仿宋-GB13000" w:cs="CESI仿宋-GB13000"/>
          <w:sz w:val="32"/>
          <w:szCs w:val="32"/>
          <w:lang w:val="en-US" w:eastAsia="zh-CN"/>
        </w:rPr>
        <w:t>月亏损及产能利用率</w:t>
      </w:r>
      <w:bookmarkStart w:id="0" w:name="_GoBack"/>
      <w:bookmarkEnd w:id="0"/>
      <w:r>
        <w:rPr>
          <w:rFonts w:hint="default" w:ascii="CESI仿宋-GB13000" w:hAnsi="CESI仿宋-GB13000" w:eastAsia="CESI仿宋-GB13000" w:cs="CESI仿宋-GB13000"/>
          <w:sz w:val="32"/>
          <w:szCs w:val="32"/>
          <w:lang w:val="en-US" w:eastAsia="zh-CN"/>
        </w:rPr>
        <w:t>下降的原因，是否存在产能过剩情况，以及在产能利用率下降情况下进一步扩产的必要性及合理性；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CESI仿宋-GB13000" w:hAnsi="CESI仿宋-GB13000" w:eastAsia="CESI仿宋-GB13000" w:cs="CESI仿宋-GB13000"/>
          <w:sz w:val="32"/>
          <w:szCs w:val="32"/>
          <w:lang w:val="en-US" w:eastAsia="zh-CN"/>
        </w:rPr>
      </w:pPr>
      <w:r>
        <w:rPr>
          <w:rFonts w:hint="eastAsia" w:ascii="CESI仿宋-GB13000" w:hAnsi="CESI仿宋-GB13000" w:eastAsia="CESI仿宋-GB13000" w:cs="CESI仿宋-GB13000"/>
          <w:sz w:val="32"/>
          <w:szCs w:val="32"/>
          <w:lang w:val="en-US" w:eastAsia="zh-CN"/>
        </w:rPr>
        <w:t>二、</w:t>
      </w:r>
      <w:r>
        <w:rPr>
          <w:rFonts w:hint="default" w:ascii="CESI仿宋-GB13000" w:hAnsi="CESI仿宋-GB13000" w:eastAsia="CESI仿宋-GB13000" w:cs="CESI仿宋-GB13000"/>
          <w:sz w:val="32"/>
          <w:szCs w:val="32"/>
          <w:lang w:val="en-US" w:eastAsia="zh-CN"/>
        </w:rPr>
        <w:t>你公司已建、在建及此次募投项目是否属于“高耗能”“高排放”项目，并提供相关依据；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CESI仿宋-GB13000" w:hAnsi="CESI仿宋-GB13000" w:eastAsia="CESI仿宋-GB13000" w:cs="CESI仿宋-GB13000"/>
          <w:sz w:val="32"/>
          <w:szCs w:val="32"/>
          <w:lang w:val="en-US" w:eastAsia="zh-CN"/>
        </w:rPr>
      </w:pPr>
      <w:r>
        <w:rPr>
          <w:rFonts w:hint="eastAsia" w:ascii="CESI仿宋-GB13000" w:hAnsi="CESI仿宋-GB13000" w:eastAsia="CESI仿宋-GB13000" w:cs="CESI仿宋-GB13000"/>
          <w:sz w:val="32"/>
          <w:szCs w:val="32"/>
          <w:lang w:val="en-US" w:eastAsia="zh-CN"/>
        </w:rPr>
        <w:t>三、</w:t>
      </w:r>
      <w:r>
        <w:rPr>
          <w:rFonts w:hint="default" w:ascii="CESI仿宋-GB13000" w:hAnsi="CESI仿宋-GB13000" w:eastAsia="CESI仿宋-GB13000" w:cs="CESI仿宋-GB13000"/>
          <w:sz w:val="32"/>
          <w:szCs w:val="32"/>
          <w:lang w:val="en-US" w:eastAsia="zh-CN"/>
        </w:rPr>
        <w:t>你公司资产负债率持续上升的原因，公司偿债能力及相关债务对持续经营的影响。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CESI仿宋-GB13000" w:hAnsi="CESI仿宋-GB13000" w:eastAsia="CESI仿宋-GB13000" w:cs="CESI仿宋-GB13000"/>
          <w:sz w:val="32"/>
          <w:szCs w:val="32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大标宋简体">
    <w:altName w:val="微软雅黑"/>
    <w:panose1 w:val="03000509000000000000"/>
    <w:charset w:val="00"/>
    <w:family w:val="auto"/>
    <w:pitch w:val="default"/>
    <w:sig w:usb0="00000000" w:usb1="00000000" w:usb2="00000000" w:usb3="00000000" w:csb0="00040000" w:csb1="00000000"/>
  </w:font>
  <w:font w:name="sysfST">
    <w:altName w:val="微软雅黑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仿宋_GB2312">
    <w:altName w:val="仿宋"/>
    <w:panose1 w:val="02010609030101010101"/>
    <w:charset w:val="00"/>
    <w:family w:val="auto"/>
    <w:pitch w:val="default"/>
    <w:sig w:usb0="00000000" w:usb1="0000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CESI仿宋-GB13000">
    <w:altName w:val="仿宋"/>
    <w:panose1 w:val="02000500000000000000"/>
    <w:charset w:val="86"/>
    <w:family w:val="auto"/>
    <w:pitch w:val="default"/>
    <w:sig w:usb0="00000000" w:usb1="00000000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2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LNJWO7QAAAABQEAAA8AAAAAAAAA&#10;AQAgAAAAIgAAAGRycy9kb3ducmV2LnhtbFBLAQIUABQAAAAIAIdO4kArqOpyGQIAACEEAAAOAAAA&#10;AAAAAAEAIAAAAB8BAABkcnMvZTJvRG9jLnhtbFBLBQYAAAAABgAGAFkBAACq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CDFAF5B4"/>
    <w:rsid w:val="2CBF98A1"/>
    <w:rsid w:val="37FFA508"/>
    <w:rsid w:val="3F5C3042"/>
    <w:rsid w:val="3F5E63A9"/>
    <w:rsid w:val="4F67EC1C"/>
    <w:rsid w:val="53F9EC31"/>
    <w:rsid w:val="5B3A80D2"/>
    <w:rsid w:val="5CFD5408"/>
    <w:rsid w:val="5FBAC526"/>
    <w:rsid w:val="5FDC53C6"/>
    <w:rsid w:val="67FDA652"/>
    <w:rsid w:val="6FB7BF97"/>
    <w:rsid w:val="6FBFA923"/>
    <w:rsid w:val="6FFD88D1"/>
    <w:rsid w:val="71676567"/>
    <w:rsid w:val="73BE761E"/>
    <w:rsid w:val="73FF2041"/>
    <w:rsid w:val="77FF3978"/>
    <w:rsid w:val="7AFDCF84"/>
    <w:rsid w:val="7B779CEC"/>
    <w:rsid w:val="7BFBBAFC"/>
    <w:rsid w:val="7CBF9F3A"/>
    <w:rsid w:val="7DEE8249"/>
    <w:rsid w:val="7DFE8840"/>
    <w:rsid w:val="7EB8C5C1"/>
    <w:rsid w:val="7FD5D345"/>
    <w:rsid w:val="7FFFC4C4"/>
    <w:rsid w:val="7FFFCE12"/>
    <w:rsid w:val="9B339AF2"/>
    <w:rsid w:val="9FDED63D"/>
    <w:rsid w:val="B379C565"/>
    <w:rsid w:val="B3EECBF7"/>
    <w:rsid w:val="B3EF337F"/>
    <w:rsid w:val="B4FBEE68"/>
    <w:rsid w:val="B7BF8DEC"/>
    <w:rsid w:val="BB1E9A4F"/>
    <w:rsid w:val="BBD1D2C6"/>
    <w:rsid w:val="BBD6E32F"/>
    <w:rsid w:val="BEC57CB7"/>
    <w:rsid w:val="BEDF4EA3"/>
    <w:rsid w:val="BEF31206"/>
    <w:rsid w:val="BFA631D0"/>
    <w:rsid w:val="BFEF7422"/>
    <w:rsid w:val="CDFAF5B4"/>
    <w:rsid w:val="D47E7E86"/>
    <w:rsid w:val="D637E125"/>
    <w:rsid w:val="DDE7B892"/>
    <w:rsid w:val="DFE5A22D"/>
    <w:rsid w:val="E7E4AAA3"/>
    <w:rsid w:val="E7FFEB4F"/>
    <w:rsid w:val="EBDF893F"/>
    <w:rsid w:val="EFAD22A7"/>
    <w:rsid w:val="F3FBBB12"/>
    <w:rsid w:val="F3FF76A6"/>
    <w:rsid w:val="F66FFFBE"/>
    <w:rsid w:val="FB7D38C0"/>
    <w:rsid w:val="FBEADAD9"/>
    <w:rsid w:val="FBFDA5AC"/>
    <w:rsid w:val="FE398695"/>
    <w:rsid w:val="FE7F3A36"/>
    <w:rsid w:val="FEF445FD"/>
    <w:rsid w:val="FFF5A8EC"/>
    <w:rsid w:val="FFFDC110"/>
    <w:rsid w:val="FFFFD8E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Office_11.8.2.9022_F1E327BC-269C-435d-A152-05C5408002CA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2023-10-04T01:34:00Z</dcterms:created>
  <dc:creator>csrc</dc:creator>
  <cp:lastModifiedBy>Administrator</cp:lastModifiedBy>
  <dcterms:modified xsi:type="dcterms:W3CDTF">2023-12-02T05:51:31Z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2052-11.8.2.9022</vt:lpwstr>
  </property>
  <property fmtid="{D5CDD505-2E9C-101B-9397-08002B2CF9AE}" pid="3" name="ICV">
    <vt:lpwstr>6E50D6BC1684E1C319E41065FCFC32D4</vt:lpwstr>
  </property>
</Properties>
</file>