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jc w:val="center"/>
        <w:rPr>
          <w:rFonts w:ascii="Times New Roman" w:hAnsi="Times New Roman" w:eastAsia="方正大标宋简体"/>
          <w:bCs/>
          <w:sz w:val="32"/>
          <w:szCs w:val="32"/>
        </w:rPr>
      </w:pPr>
      <w:r>
        <w:rPr>
          <w:rFonts w:ascii="Times New Roman" w:hAnsi="Times New Roman" w:eastAsia="方正大标宋简体"/>
          <w:bCs/>
          <w:sz w:val="32"/>
          <w:szCs w:val="32"/>
        </w:rPr>
        <w:t>（2024年5月10日—2024年</w:t>
      </w:r>
      <w:r>
        <w:rPr>
          <w:rFonts w:hint="eastAsia" w:ascii="Times New Roman" w:hAnsi="Times New Roman" w:eastAsia="方正大标宋简体"/>
          <w:bCs/>
          <w:sz w:val="32"/>
          <w:szCs w:val="32"/>
        </w:rPr>
        <w:t>5</w:t>
      </w:r>
      <w:r>
        <w:rPr>
          <w:rFonts w:ascii="Times New Roman" w:hAnsi="Times New Roman" w:eastAsia="方正大标宋简体"/>
          <w:bCs/>
          <w:sz w:val="32"/>
          <w:szCs w:val="32"/>
        </w:rPr>
        <w:t>月16日）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CESI仿宋-GB2312"/>
          <w:sz w:val="32"/>
          <w:szCs w:val="32"/>
        </w:rPr>
      </w:pPr>
      <w:bookmarkStart w:id="0" w:name="_GoBack"/>
      <w:bookmarkEnd w:id="0"/>
      <w:r>
        <w:rPr>
          <w:rFonts w:hint="eastAsia" w:ascii="Times New Roman" w:hAnsi="Times New Roman" w:eastAsia="CESI仿宋-GB2312"/>
          <w:sz w:val="32"/>
          <w:szCs w:val="32"/>
        </w:rPr>
        <w:t>本周国际司共对5家企业出具补充材料要求，具体如下：</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方正黑体_GBK"/>
          <w:sz w:val="32"/>
          <w:szCs w:val="32"/>
        </w:rPr>
        <w:t>索威尔（秘交转公开）</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请你公司补充说明以下事项，请律师核查并出具明确的法律意见：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一、关于股权架构搭建及返程并购的合规性，请说明：（1）于立擎收购深圳市索威尔科技开发有限公司（下称“深圳索威尔”）1%的股权，请说明交易价格、定价依据、支付手段、支付期限等是否符合《关于外国投资者并购境内企业的规定》，以及上述股权转让税费缴纳的具体情况；（2）联合索威尔企业管理（汕尾）有限公司（下称“汕尾索威尔”）收购深圳索威尔全部股权，是否符合《关于外国投资者并购境内企业的规定》，以及股权转让方海南联合企业管理集团有限公司、深圳市联宇控股合伙企业（有限合伙）履行税费缴纳的具体情况；（3）汕尾索威尔、深圳索威尔是否履行《外商投资信息报告办法》规定的报告义务，深圳索威尔是否办理境内直接投资外汇登记手续；（4）除已披露的情况外，其他境内出资人履行境外投资监管程序的具体情况；（5）境外搭建离岸架构和返程投资涉及的外汇登记、境外投资、外商投资、税费缴纳等监管程序方面合法合规的结论性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二、关于股东穿透情况，请说明控股股东Lianhe Holding Group Limited上层出资人济南优尼安企业管理有限公司穿透的基本情况。</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三、关于境内运营实体情况，请说明：（1）汕尾索威尔注册资本未缴足的原因及合规性，是否对公司业务运营和偿债能力造成重大影响；（2）合智融通（深圳）技术有限公司、深圳市索威尔数字能源技术有限公司、无锡索威尔信息科技有限公司经营范围包括数据处理和存储支持服务、基础电信业务、第二类增值电信业务、卫星遥感应用系统集成、地理遥感信息服务、卫星遥感数据处理等可能涉及外商投资限制或禁止领域的业务，请说明是否实际从事上述业务，是否取得相应资质许可；（3）主要境内运营实体设立及历次股权变动均合法合规的结论性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方正黑体_GBK"/>
          <w:sz w:val="32"/>
          <w:szCs w:val="32"/>
        </w:rPr>
        <w:t>嘉乐科技（秘交转公开）</w:t>
      </w:r>
    </w:p>
    <w:p>
      <w:pPr>
        <w:spacing w:line="560" w:lineRule="exact"/>
        <w:ind w:firstLine="640" w:firstLineChars="200"/>
        <w:rPr>
          <w:rFonts w:ascii="Times New Roman" w:hAnsi="Times New Roman" w:eastAsia="CESI仿宋-GB2312"/>
          <w:color w:val="000000"/>
          <w:sz w:val="32"/>
          <w:szCs w:val="32"/>
        </w:rPr>
      </w:pPr>
      <w:r>
        <w:rPr>
          <w:rFonts w:ascii="Times New Roman" w:hAnsi="Times New Roman" w:eastAsia="CESI仿宋-GB2312"/>
          <w:color w:val="000000"/>
          <w:sz w:val="32"/>
          <w:szCs w:val="32"/>
        </w:rPr>
        <w:t>请你公司就以下事项补充说明，请律师进行核查并出具明确的法律意见：</w:t>
      </w:r>
    </w:p>
    <w:p>
      <w:pPr>
        <w:spacing w:line="560" w:lineRule="exact"/>
        <w:ind w:firstLine="640" w:firstLineChars="200"/>
        <w:rPr>
          <w:rFonts w:ascii="Times New Roman" w:hAnsi="Times New Roman" w:eastAsia="CESI仿宋-GB2312"/>
          <w:color w:val="000000"/>
          <w:sz w:val="32"/>
          <w:szCs w:val="32"/>
        </w:rPr>
      </w:pPr>
      <w:r>
        <w:rPr>
          <w:rFonts w:ascii="Times New Roman" w:hAnsi="Times New Roman" w:eastAsia="CESI仿宋-GB2312"/>
          <w:color w:val="000000"/>
          <w:sz w:val="32"/>
          <w:szCs w:val="32"/>
        </w:rPr>
        <w:t>一、关于股权架构，请说明：（1）境内运营实体与发行人层面股东持股比例不一致的原因，相关安排是否存在股权代持，并说明可能导致的股权</w:t>
      </w:r>
      <w:r>
        <w:rPr>
          <w:rFonts w:ascii="Times New Roman" w:hAnsi="Times New Roman" w:eastAsia="CESI仿宋-GB2312"/>
          <w:sz w:val="32"/>
          <w:szCs w:val="32"/>
        </w:rPr>
        <w:t>纠纷、控制权稳定风险及应</w:t>
      </w:r>
      <w:r>
        <w:rPr>
          <w:rFonts w:ascii="Times New Roman" w:hAnsi="Times New Roman" w:eastAsia="CESI仿宋-GB2312"/>
          <w:color w:val="000000"/>
          <w:sz w:val="32"/>
          <w:szCs w:val="32"/>
        </w:rPr>
        <w:t>对措施；（2）关于境外搭建离岸架构和返程投资涉及的外汇登记、境外投资、外商投资等监管程序方面合法合规的结论性意见。</w:t>
      </w:r>
    </w:p>
    <w:p>
      <w:pPr>
        <w:spacing w:line="560" w:lineRule="exact"/>
        <w:ind w:firstLine="640" w:firstLineChars="200"/>
        <w:rPr>
          <w:rFonts w:ascii="Times New Roman" w:hAnsi="Times New Roman" w:eastAsia="CESI仿宋-GB2312"/>
          <w:color w:val="000000"/>
          <w:sz w:val="32"/>
          <w:szCs w:val="32"/>
        </w:rPr>
      </w:pPr>
      <w:r>
        <w:rPr>
          <w:rFonts w:ascii="Times New Roman" w:hAnsi="Times New Roman" w:eastAsia="CESI仿宋-GB2312"/>
          <w:color w:val="000000"/>
          <w:sz w:val="32"/>
          <w:szCs w:val="32"/>
        </w:rPr>
        <w:t>二、关于股权转让，请说明：（1）景德镇众盛创投合伙企业（有限合伙）2023年9月入股嘉乐科技的出资时间早于内部决策程序履行时间的原因及合规性；（2）境内运营实体德嘉宏智2021年11月、2022年1月、2022年4月股权转让的定价依据及合规性，是否存在代持、利益输送等情形。</w:t>
      </w:r>
    </w:p>
    <w:p>
      <w:pPr>
        <w:spacing w:line="560" w:lineRule="exact"/>
        <w:ind w:firstLine="640" w:firstLineChars="200"/>
        <w:rPr>
          <w:rFonts w:ascii="Times New Roman" w:hAnsi="Times New Roman" w:eastAsia="CESI仿宋-GB2312"/>
          <w:color w:val="000000"/>
          <w:sz w:val="32"/>
          <w:szCs w:val="32"/>
        </w:rPr>
      </w:pPr>
      <w:r>
        <w:rPr>
          <w:rFonts w:ascii="Times New Roman" w:hAnsi="Times New Roman" w:eastAsia="CESI仿宋-GB2312"/>
          <w:color w:val="000000"/>
          <w:sz w:val="32"/>
          <w:szCs w:val="32"/>
        </w:rPr>
        <w:t>三、关于经营合规，请说明：（1）杭州权石科技有限公司与发行人之间的关联关系，并就相关贸易活动的真实性和合规性出具明确的结论性意见；（2）部分主要境内运营实体注册资本未缴足的原因及合规性，是否对你公司业务运营和偿债能力造成重大不利影响。</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方正黑体_GBK"/>
          <w:sz w:val="32"/>
          <w:szCs w:val="32"/>
        </w:rPr>
        <w:t>全品教育</w:t>
      </w:r>
    </w:p>
    <w:p>
      <w:pPr>
        <w:spacing w:line="560" w:lineRule="exact"/>
        <w:ind w:firstLine="640" w:firstLineChars="200"/>
        <w:rPr>
          <w:rFonts w:ascii="CESI仿宋-GB13000" w:hAnsi="CESI仿宋-GB13000" w:eastAsia="CESI仿宋-GB13000" w:cs="CESI仿宋-GB13000"/>
          <w:sz w:val="32"/>
          <w:szCs w:val="32"/>
        </w:rPr>
      </w:pPr>
      <w:r>
        <w:rPr>
          <w:rFonts w:hint="eastAsia" w:ascii="CESI仿宋-GB13000" w:hAnsi="CESI仿宋-GB13000" w:eastAsia="CESI仿宋-GB13000" w:cs="CESI仿宋-GB13000"/>
          <w:sz w:val="32"/>
          <w:szCs w:val="32"/>
        </w:rPr>
        <w:t>请你公司补充说明以下事项，请律师核查并出具明确的法律意见：</w:t>
      </w:r>
    </w:p>
    <w:p>
      <w:pPr>
        <w:spacing w:line="560" w:lineRule="exact"/>
        <w:ind w:firstLine="640" w:firstLineChars="200"/>
        <w:rPr>
          <w:rFonts w:ascii="CESI仿宋-GB13000" w:hAnsi="CESI仿宋-GB13000" w:eastAsia="CESI仿宋-GB13000" w:cs="CESI仿宋-GB13000"/>
          <w:sz w:val="32"/>
          <w:szCs w:val="32"/>
        </w:rPr>
      </w:pPr>
      <w:r>
        <w:rPr>
          <w:rFonts w:hint="eastAsia" w:ascii="CESI仿宋-GB13000" w:hAnsi="CESI仿宋-GB13000" w:eastAsia="CESI仿宋-GB13000" w:cs="CESI仿宋-GB13000"/>
          <w:sz w:val="32"/>
          <w:szCs w:val="32"/>
        </w:rPr>
        <w:t>一、关于股权架构搭建及返程并购的合规性，请说明：（</w:t>
      </w:r>
      <w:r>
        <w:rPr>
          <w:rFonts w:hint="eastAsia" w:ascii="Times New Roman" w:hAnsi="Times New Roman" w:eastAsia="方正大标宋简体"/>
          <w:bCs/>
          <w:sz w:val="32"/>
          <w:szCs w:val="32"/>
        </w:rPr>
        <w:t>1</w:t>
      </w:r>
      <w:r>
        <w:rPr>
          <w:rFonts w:hint="eastAsia" w:ascii="CESI仿宋-GB13000" w:hAnsi="CESI仿宋-GB13000" w:eastAsia="CESI仿宋-GB13000" w:cs="CESI仿宋-GB13000"/>
          <w:sz w:val="32"/>
          <w:szCs w:val="32"/>
        </w:rPr>
        <w:t>）王英东通过增资方式取得北京全品文教科技有限公司（下称“北京全品”）约</w:t>
      </w:r>
      <w:r>
        <w:rPr>
          <w:rFonts w:hint="eastAsia" w:ascii="Times New Roman" w:hAnsi="Times New Roman" w:eastAsia="方正大标宋简体"/>
          <w:bCs/>
          <w:sz w:val="32"/>
          <w:szCs w:val="32"/>
        </w:rPr>
        <w:t>1%</w:t>
      </w:r>
      <w:r>
        <w:rPr>
          <w:rFonts w:hint="eastAsia" w:ascii="CESI仿宋-GB13000" w:hAnsi="CESI仿宋-GB13000" w:eastAsia="CESI仿宋-GB13000" w:cs="CESI仿宋-GB13000"/>
          <w:sz w:val="32"/>
          <w:szCs w:val="32"/>
        </w:rPr>
        <w:t>的股权，请说明增资款实缴情况，全品文教（北京）技术有限公司（下称“北京全品技术”）收购北京全品</w:t>
      </w:r>
      <w:r>
        <w:rPr>
          <w:rFonts w:hint="eastAsia" w:ascii="Times New Roman" w:hAnsi="Times New Roman" w:eastAsia="方正大标宋简体"/>
          <w:bCs/>
          <w:sz w:val="32"/>
          <w:szCs w:val="32"/>
        </w:rPr>
        <w:t>100%</w:t>
      </w:r>
      <w:r>
        <w:rPr>
          <w:rFonts w:hint="eastAsia" w:ascii="CESI仿宋-GB13000" w:hAnsi="CESI仿宋-GB13000" w:eastAsia="CESI仿宋-GB13000" w:cs="CESI仿宋-GB13000"/>
          <w:sz w:val="32"/>
          <w:szCs w:val="32"/>
        </w:rPr>
        <w:t>的股权，请说明交易价格、定价依据及合理性、支付期限、税费缴纳的具体情况，上述增资及收购过程是否符合《关于外国投资者并购境内企业的规定》；（</w:t>
      </w:r>
      <w:r>
        <w:rPr>
          <w:rFonts w:hint="eastAsia" w:ascii="Times New Roman" w:hAnsi="Times New Roman" w:eastAsia="方正大标宋简体"/>
          <w:bCs/>
          <w:sz w:val="32"/>
          <w:szCs w:val="32"/>
        </w:rPr>
        <w:t>2</w:t>
      </w:r>
      <w:r>
        <w:rPr>
          <w:rFonts w:hint="eastAsia" w:ascii="CESI仿宋-GB13000" w:hAnsi="CESI仿宋-GB13000" w:eastAsia="CESI仿宋-GB13000" w:cs="CESI仿宋-GB13000"/>
          <w:sz w:val="32"/>
          <w:szCs w:val="32"/>
        </w:rPr>
        <w:t>）北京全品技术是否履行外商投资信息报告义务，北京全品技术、北京全品是否办理境内直接投资外汇登记手续；（</w:t>
      </w:r>
      <w:r>
        <w:rPr>
          <w:rFonts w:hint="eastAsia" w:ascii="Times New Roman" w:hAnsi="Times New Roman" w:eastAsia="方正大标宋简体"/>
          <w:bCs/>
          <w:sz w:val="32"/>
          <w:szCs w:val="32"/>
        </w:rPr>
        <w:t>3</w:t>
      </w:r>
      <w:r>
        <w:rPr>
          <w:rFonts w:hint="eastAsia" w:ascii="CESI仿宋-GB13000" w:hAnsi="CESI仿宋-GB13000" w:eastAsia="CESI仿宋-GB13000" w:cs="CESI仿宋-GB13000"/>
          <w:sz w:val="32"/>
          <w:szCs w:val="32"/>
        </w:rPr>
        <w:t>）北京乐衡文化科技合伙企业（有限合伙）（下称“乐衡文化”）、北京书人文化科技合伙企业（有限合伙）、北京傲秀教育咨询合伙企业（有限合伙）（下称“傲秀教育”）从北京全品减资，请说明减资原因及税费缴纳具体情况；（</w:t>
      </w:r>
      <w:r>
        <w:rPr>
          <w:rFonts w:hint="eastAsia" w:ascii="Times New Roman" w:hAnsi="Times New Roman" w:eastAsia="方正大标宋简体"/>
          <w:bCs/>
          <w:sz w:val="32"/>
          <w:szCs w:val="32"/>
        </w:rPr>
        <w:t>4</w:t>
      </w:r>
      <w:r>
        <w:rPr>
          <w:rFonts w:hint="eastAsia" w:ascii="CESI仿宋-GB13000" w:hAnsi="CESI仿宋-GB13000" w:eastAsia="CESI仿宋-GB13000" w:cs="CESI仿宋-GB13000"/>
          <w:sz w:val="32"/>
          <w:szCs w:val="32"/>
        </w:rPr>
        <w:t>）境外搭建离岸架构和返程投资涉及的外汇登记、境外投资、外商投资、税费缴纳等监管程序方面合法合规的结论性意见。</w:t>
      </w:r>
    </w:p>
    <w:p>
      <w:pPr>
        <w:spacing w:line="560" w:lineRule="exact"/>
        <w:ind w:firstLine="640" w:firstLineChars="200"/>
        <w:rPr>
          <w:rFonts w:ascii="CESI仿宋-GB13000" w:hAnsi="CESI仿宋-GB13000" w:eastAsia="CESI仿宋-GB13000" w:cs="CESI仿宋-GB13000"/>
          <w:sz w:val="32"/>
          <w:szCs w:val="32"/>
        </w:rPr>
      </w:pPr>
      <w:r>
        <w:rPr>
          <w:rFonts w:hint="eastAsia" w:ascii="CESI仿宋-GB13000" w:hAnsi="CESI仿宋-GB13000" w:eastAsia="CESI仿宋-GB13000" w:cs="CESI仿宋-GB13000"/>
          <w:sz w:val="32"/>
          <w:szCs w:val="32"/>
        </w:rPr>
        <w:t>二、关于主要股东情况，持股</w:t>
      </w:r>
      <w:r>
        <w:rPr>
          <w:rFonts w:hint="eastAsia" w:ascii="Times New Roman" w:hAnsi="Times New Roman" w:eastAsia="方正大标宋简体"/>
          <w:sz w:val="32"/>
          <w:szCs w:val="32"/>
        </w:rPr>
        <w:t>5%</w:t>
      </w:r>
      <w:r>
        <w:rPr>
          <w:rFonts w:hint="eastAsia" w:ascii="CESI仿宋-GB13000" w:hAnsi="CESI仿宋-GB13000" w:eastAsia="CESI仿宋-GB13000" w:cs="CESI仿宋-GB13000"/>
          <w:sz w:val="32"/>
          <w:szCs w:val="32"/>
        </w:rPr>
        <w:t>以上股东</w:t>
      </w:r>
      <w:r>
        <w:rPr>
          <w:rFonts w:hint="eastAsia" w:ascii="Times New Roman" w:hAnsi="Times New Roman" w:eastAsia="方正大标宋简体"/>
          <w:sz w:val="32"/>
          <w:szCs w:val="32"/>
        </w:rPr>
        <w:t>Choice Investment Co.,LTD、Leheng Investment Co.,LTD</w:t>
      </w:r>
      <w:r>
        <w:rPr>
          <w:rFonts w:hint="eastAsia" w:ascii="CESI仿宋-GB13000" w:hAnsi="CESI仿宋-GB13000" w:eastAsia="CESI仿宋-GB13000" w:cs="CESI仿宋-GB13000"/>
          <w:sz w:val="32"/>
          <w:szCs w:val="32"/>
        </w:rPr>
        <w:t xml:space="preserve"> 穿透后存在境内自然人，请按照《监管规则适用指引一一境外发行上市类第</w:t>
      </w:r>
      <w:r>
        <w:rPr>
          <w:rFonts w:hint="eastAsia" w:ascii="Times New Roman" w:hAnsi="Times New Roman" w:eastAsia="方正大标宋简体"/>
          <w:bCs/>
          <w:sz w:val="32"/>
          <w:szCs w:val="32"/>
        </w:rPr>
        <w:t>2</w:t>
      </w:r>
      <w:r>
        <w:rPr>
          <w:rFonts w:hint="eastAsia" w:ascii="CESI仿宋-GB13000" w:hAnsi="CESI仿宋-GB13000" w:eastAsia="CESI仿宋-GB13000" w:cs="CESI仿宋-GB13000"/>
          <w:sz w:val="32"/>
          <w:szCs w:val="32"/>
        </w:rPr>
        <w:t>号：备案材料内容和格式指引》说明相关主体的基本情况。</w:t>
      </w:r>
    </w:p>
    <w:p>
      <w:pPr>
        <w:spacing w:line="560" w:lineRule="exact"/>
        <w:ind w:firstLine="640" w:firstLineChars="200"/>
        <w:rPr>
          <w:rFonts w:ascii="CESI仿宋-GB13000" w:hAnsi="CESI仿宋-GB13000" w:eastAsia="CESI仿宋-GB13000" w:cs="CESI仿宋-GB13000"/>
          <w:sz w:val="32"/>
          <w:szCs w:val="32"/>
        </w:rPr>
      </w:pPr>
      <w:r>
        <w:rPr>
          <w:rFonts w:hint="eastAsia" w:ascii="CESI仿宋-GB13000" w:hAnsi="CESI仿宋-GB13000" w:eastAsia="CESI仿宋-GB13000" w:cs="CESI仿宋-GB13000"/>
          <w:sz w:val="32"/>
          <w:szCs w:val="32"/>
        </w:rPr>
        <w:t>三、关于境内运营实体情况，请说明：（</w:t>
      </w:r>
      <w:r>
        <w:rPr>
          <w:rFonts w:hint="eastAsia" w:ascii="Times New Roman" w:hAnsi="Times New Roman" w:eastAsia="方正大标宋简体"/>
          <w:sz w:val="32"/>
          <w:szCs w:val="32"/>
        </w:rPr>
        <w:t>1</w:t>
      </w:r>
      <w:r>
        <w:rPr>
          <w:rFonts w:hint="eastAsia" w:ascii="CESI仿宋-GB13000" w:hAnsi="CESI仿宋-GB13000" w:eastAsia="CESI仿宋-GB13000" w:cs="CESI仿宋-GB13000"/>
          <w:sz w:val="32"/>
          <w:szCs w:val="32"/>
        </w:rPr>
        <w:t>）境内运营实体是否实际从事经营范围中包含的“互联网数据服务”，你公司主要从事的教辅材料策划与发行是否属于《外商投资准入特别管理措施（负面清单）》（</w:t>
      </w:r>
      <w:r>
        <w:rPr>
          <w:rFonts w:hint="eastAsia" w:ascii="Times New Roman" w:hAnsi="Times New Roman" w:eastAsia="方正大标宋简体"/>
          <w:bCs/>
          <w:sz w:val="32"/>
          <w:szCs w:val="32"/>
        </w:rPr>
        <w:t>2021</w:t>
      </w:r>
      <w:r>
        <w:rPr>
          <w:rFonts w:hint="eastAsia" w:ascii="CESI仿宋-GB13000" w:hAnsi="CESI仿宋-GB13000" w:eastAsia="CESI仿宋-GB13000" w:cs="CESI仿宋-GB13000"/>
          <w:sz w:val="32"/>
          <w:szCs w:val="32"/>
        </w:rPr>
        <w:t>年版）（下称《外资准入负面清单》）规定的“禁止投资图书、报纸、期刊、音像制品和电子出版物的编辑、出版、制作业务”，发行人在编写教辅图书前开展的现场研究、调查、访谈及资料分析等各种市场调研活动是否属于《外资准入负面清单》规定的市场调查或社会调查业务；（</w:t>
      </w:r>
      <w:r>
        <w:rPr>
          <w:rFonts w:hint="eastAsia" w:ascii="Times New Roman" w:hAnsi="Times New Roman" w:eastAsia="方正大标宋简体"/>
          <w:bCs/>
          <w:sz w:val="32"/>
          <w:szCs w:val="32"/>
        </w:rPr>
        <w:t>2</w:t>
      </w:r>
      <w:r>
        <w:rPr>
          <w:rFonts w:hint="eastAsia" w:ascii="CESI仿宋-GB13000" w:hAnsi="CESI仿宋-GB13000" w:eastAsia="CESI仿宋-GB13000" w:cs="CESI仿宋-GB13000"/>
          <w:sz w:val="32"/>
          <w:szCs w:val="32"/>
        </w:rPr>
        <w:t>）</w:t>
      </w:r>
      <w:r>
        <w:rPr>
          <w:rFonts w:hint="eastAsia" w:ascii="Times New Roman" w:hAnsi="Times New Roman" w:eastAsia="方正大标宋简体"/>
          <w:bCs/>
          <w:sz w:val="32"/>
          <w:szCs w:val="32"/>
        </w:rPr>
        <w:t>2022</w:t>
      </w:r>
      <w:r>
        <w:rPr>
          <w:rFonts w:hint="eastAsia" w:ascii="CESI仿宋-GB13000" w:hAnsi="CESI仿宋-GB13000" w:eastAsia="CESI仿宋-GB13000" w:cs="CESI仿宋-GB13000"/>
          <w:sz w:val="32"/>
          <w:szCs w:val="32"/>
        </w:rPr>
        <w:t>年至</w:t>
      </w:r>
      <w:r>
        <w:rPr>
          <w:rFonts w:hint="eastAsia" w:ascii="Times New Roman" w:hAnsi="Times New Roman" w:eastAsia="方正大标宋简体"/>
          <w:bCs/>
          <w:sz w:val="32"/>
          <w:szCs w:val="32"/>
        </w:rPr>
        <w:t>2023</w:t>
      </w:r>
      <w:r>
        <w:rPr>
          <w:rFonts w:hint="eastAsia" w:ascii="CESI仿宋-GB13000" w:hAnsi="CESI仿宋-GB13000" w:eastAsia="CESI仿宋-GB13000" w:cs="CESI仿宋-GB13000"/>
          <w:sz w:val="32"/>
          <w:szCs w:val="32"/>
        </w:rPr>
        <w:t>年，李红绵、刘燕、邵小鹏、傲秀教育取得股份的对价明显低于同期交易价格，请说明定价依据及合理性，外部投资人通过减资相继退出，请说明減资原因、价格、定价依据及合理性；（</w:t>
      </w:r>
      <w:r>
        <w:rPr>
          <w:rFonts w:hint="eastAsia" w:ascii="Times New Roman" w:hAnsi="Times New Roman" w:eastAsia="方正大标宋简体"/>
          <w:bCs/>
          <w:sz w:val="32"/>
          <w:szCs w:val="32"/>
        </w:rPr>
        <w:t>3</w:t>
      </w:r>
      <w:r>
        <w:rPr>
          <w:rFonts w:hint="eastAsia" w:ascii="CESI仿宋-GB13000" w:hAnsi="CESI仿宋-GB13000" w:eastAsia="CESI仿宋-GB13000" w:cs="CESI仿宋-GB13000"/>
          <w:sz w:val="32"/>
          <w:szCs w:val="32"/>
        </w:rPr>
        <w:t>）北京全品、武汉全品曾于其经营的网站及应用程序免费提供知识点讲解短视频，拥有中小学套餐课程学习系统、教研备课管理系统、互联网直播教学平台等，请结合相关主体的经营活动及享有著作权等情况说明报告期内是否存在违规开展学科类校外培训、违规从事互联网文化活动、违规开展增值电信业务的行为；（</w:t>
      </w:r>
      <w:r>
        <w:rPr>
          <w:rFonts w:hint="eastAsia" w:ascii="Times New Roman" w:hAnsi="Times New Roman" w:eastAsia="方正大标宋简体"/>
          <w:bCs/>
          <w:sz w:val="32"/>
          <w:szCs w:val="32"/>
        </w:rPr>
        <w:t>4</w:t>
      </w:r>
      <w:r>
        <w:rPr>
          <w:rFonts w:hint="eastAsia" w:ascii="CESI仿宋-GB13000" w:hAnsi="CESI仿宋-GB13000" w:eastAsia="CESI仿宋-GB13000" w:cs="CESI仿宋-GB13000"/>
          <w:sz w:val="32"/>
          <w:szCs w:val="32"/>
        </w:rPr>
        <w:t>）你公司境内运营实体拥有国学游戏化学习系统、动漫数学游戏化学习系统，请说明是否从事游戏运营业务、是否须取得必要的游戏版号；（</w:t>
      </w:r>
      <w:r>
        <w:rPr>
          <w:rFonts w:hint="eastAsia" w:ascii="Times New Roman" w:hAnsi="Times New Roman" w:eastAsia="方正大标宋简体"/>
          <w:bCs/>
          <w:sz w:val="32"/>
          <w:szCs w:val="32"/>
        </w:rPr>
        <w:t>5</w:t>
      </w:r>
      <w:r>
        <w:rPr>
          <w:rFonts w:hint="eastAsia" w:ascii="CESI仿宋-GB13000" w:hAnsi="CESI仿宋-GB13000" w:eastAsia="CESI仿宋-GB13000" w:cs="CESI仿宋-GB13000"/>
          <w:sz w:val="32"/>
          <w:szCs w:val="32"/>
        </w:rPr>
        <w:t>）请结合北京全品、武汉全品</w:t>
      </w:r>
      <w:r>
        <w:rPr>
          <w:rFonts w:hint="eastAsia" w:ascii="Times New Roman" w:hAnsi="Times New Roman" w:eastAsia="方正大标宋简体"/>
          <w:bCs/>
          <w:sz w:val="32"/>
          <w:szCs w:val="32"/>
        </w:rPr>
        <w:t>ICP</w:t>
      </w:r>
      <w:r>
        <w:rPr>
          <w:rFonts w:hint="eastAsia" w:ascii="CESI仿宋-GB13000" w:hAnsi="CESI仿宋-GB13000" w:eastAsia="CESI仿宋-GB13000" w:cs="CESI仿宋-GB13000"/>
          <w:sz w:val="32"/>
          <w:szCs w:val="32"/>
        </w:rPr>
        <w:t>备案情况说明涉及的具体增值电信业务种类；（</w:t>
      </w:r>
      <w:r>
        <w:rPr>
          <w:rFonts w:hint="eastAsia" w:ascii="Times New Roman" w:hAnsi="Times New Roman" w:eastAsia="方正大标宋简体"/>
          <w:bCs/>
          <w:sz w:val="32"/>
          <w:szCs w:val="32"/>
        </w:rPr>
        <w:t>6</w:t>
      </w:r>
      <w:r>
        <w:rPr>
          <w:rFonts w:hint="eastAsia" w:ascii="CESI仿宋-GB13000" w:hAnsi="CESI仿宋-GB13000" w:eastAsia="CESI仿宋-GB13000" w:cs="CESI仿宋-GB13000"/>
          <w:sz w:val="32"/>
          <w:szCs w:val="32"/>
        </w:rPr>
        <w:t>）请说明境内运营实体涉及的尚未了结的诉讼、仲裁案件情况，包括当事人、基本事实、进展情况等；（</w:t>
      </w:r>
      <w:r>
        <w:rPr>
          <w:rFonts w:hint="eastAsia" w:ascii="Times New Roman" w:hAnsi="Times New Roman" w:eastAsia="方正大标宋简体"/>
          <w:bCs/>
          <w:sz w:val="32"/>
          <w:szCs w:val="32"/>
        </w:rPr>
        <w:t>7</w:t>
      </w:r>
      <w:r>
        <w:rPr>
          <w:rFonts w:hint="eastAsia" w:ascii="CESI仿宋-GB13000" w:hAnsi="CESI仿宋-GB13000" w:eastAsia="CESI仿宋-GB13000" w:cs="CESI仿宋-GB13000"/>
          <w:sz w:val="32"/>
          <w:szCs w:val="32"/>
        </w:rPr>
        <w:t>）主要境内运营实体设立及历次股权变动均合法合规的结论性意见。</w:t>
      </w:r>
    </w:p>
    <w:p>
      <w:pPr>
        <w:spacing w:line="560" w:lineRule="exact"/>
        <w:ind w:firstLine="640" w:firstLineChars="200"/>
        <w:rPr>
          <w:rFonts w:ascii="CESI仿宋-GB13000" w:hAnsi="CESI仿宋-GB13000" w:eastAsia="CESI仿宋-GB13000" w:cs="CESI仿宋-GB13000"/>
          <w:sz w:val="32"/>
          <w:szCs w:val="32"/>
        </w:rPr>
      </w:pPr>
      <w:r>
        <w:rPr>
          <w:rFonts w:hint="eastAsia" w:ascii="CESI仿宋-GB13000" w:hAnsi="CESI仿宋-GB13000" w:eastAsia="CESI仿宋-GB13000" w:cs="CESI仿宋-GB13000"/>
          <w:sz w:val="32"/>
          <w:szCs w:val="32"/>
        </w:rPr>
        <w:t>四、关于数据合规情况，请说明开发、运营的网站、</w:t>
      </w:r>
      <w:r>
        <w:rPr>
          <w:rFonts w:hint="eastAsia" w:ascii="Times New Roman" w:hAnsi="Times New Roman" w:eastAsia="方正大标宋简体"/>
          <w:sz w:val="32"/>
          <w:szCs w:val="32"/>
        </w:rPr>
        <w:t>APP</w:t>
      </w:r>
      <w:r>
        <w:rPr>
          <w:rFonts w:hint="eastAsia" w:ascii="CESI仿宋-GB13000" w:hAnsi="CESI仿宋-GB13000" w:eastAsia="CESI仿宋-GB13000" w:cs="CESI仿宋-GB13000"/>
          <w:sz w:val="32"/>
          <w:szCs w:val="32"/>
        </w:rPr>
        <w:t>、小程序等产品情况，上述产品的运营主体，收集和存储用户信息规模、数据收集使用情况，是否存在向第三方提供信息的情形，以及上市前后个人信息保护和数据安全的安排或措施。</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华润饮料</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请你公司就以下事项补充说明，请律师进行核查并出具</w:t>
      </w:r>
    </w:p>
    <w:p>
      <w:pPr>
        <w:spacing w:line="560" w:lineRule="exact"/>
        <w:rPr>
          <w:rFonts w:ascii="Times New Roman" w:hAnsi="Times New Roman" w:eastAsia="CESI仿宋-GB2312"/>
          <w:sz w:val="32"/>
          <w:szCs w:val="32"/>
        </w:rPr>
      </w:pPr>
      <w:r>
        <w:rPr>
          <w:rFonts w:hint="eastAsia" w:ascii="Times New Roman" w:hAnsi="Times New Roman" w:eastAsia="CESI仿宋-GB2312"/>
          <w:sz w:val="32"/>
          <w:szCs w:val="32"/>
        </w:rPr>
        <w:t>明确的法律意见：</w:t>
      </w:r>
    </w:p>
    <w:p>
      <w:pPr>
        <w:numPr>
          <w:ilvl w:val="0"/>
          <w:numId w:val="1"/>
        </w:num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关于股权结构及股权变动情况，（1）股权架构搭建及返程并购涉及的境外投资、外商投资、税务管理、国资管理等监管程序合规性的结论性意见，以及外商投资信息报告义务履行情况；（2）麒麟饮料株式会社向Plateau Consumer Limited转让发行人股份，相关股权转让的定价依据、税费缴纳情况；（3）香港华润以华润怡宝等子公司股权作价对华润投资进行增资，相关股权转让的税费缴纳情况；（4）2024年1月华润投资收购武汉华新达，相关股权转让的定价依据、税费缴纳情况；（5）发行人实际控制人的认定依据。</w:t>
      </w:r>
    </w:p>
    <w:p>
      <w:pPr>
        <w:numPr>
          <w:ilvl w:val="0"/>
          <w:numId w:val="1"/>
        </w:num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关于主要境内运营实体情况，请就碧优选、宜兴华润怡宝、武汉华新达设立的合法合规性出具意见。</w:t>
      </w:r>
    </w:p>
    <w:p>
      <w:pPr>
        <w:numPr>
          <w:ilvl w:val="0"/>
          <w:numId w:val="1"/>
        </w:num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关于国资管理，拟请发行人说明本次发行上市所涉及的国资监管程序及履行情况。</w:t>
      </w:r>
    </w:p>
    <w:p>
      <w:pPr>
        <w:numPr>
          <w:ilvl w:val="0"/>
          <w:numId w:val="1"/>
        </w:num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关于分派股息，请说明在存在大额债务的情况下，于上市前分派股息的合理性，对公司偿债能力和持续经营能力是否存在重大影响。</w:t>
      </w:r>
    </w:p>
    <w:p>
      <w:pPr>
        <w:spacing w:line="560" w:lineRule="exact"/>
        <w:ind w:left="640"/>
        <w:rPr>
          <w:rFonts w:hint="eastAsia" w:ascii="Times New Roman" w:hAnsi="Times New Roman" w:eastAsia="CESI仿宋-GB2312"/>
          <w:sz w:val="32"/>
          <w:szCs w:val="32"/>
        </w:rPr>
      </w:pPr>
      <w:r>
        <w:rPr>
          <w:rFonts w:hint="eastAsia" w:ascii="Times New Roman" w:hAnsi="Times New Roman" w:eastAsia="CESI仿宋-GB2312"/>
          <w:sz w:val="32"/>
          <w:szCs w:val="32"/>
        </w:rPr>
        <w:t>明基医院</w:t>
      </w:r>
    </w:p>
    <w:p>
      <w:pPr>
        <w:spacing w:line="560" w:lineRule="exact"/>
        <w:ind w:firstLine="640" w:firstLineChars="200"/>
        <w:rPr>
          <w:rFonts w:hint="eastAsia" w:ascii="Times New Roman" w:hAnsi="Times New Roman" w:eastAsia="CESI仿宋-GB2312"/>
          <w:sz w:val="32"/>
          <w:szCs w:val="32"/>
        </w:rPr>
      </w:pPr>
      <w:r>
        <w:rPr>
          <w:rFonts w:hint="eastAsia" w:ascii="Times New Roman" w:hAnsi="Times New Roman" w:eastAsia="CESI仿宋-GB2312"/>
          <w:sz w:val="32"/>
          <w:szCs w:val="32"/>
        </w:rPr>
        <w:t>请你公司就以下事项补充说明，请律师进行核查并出具明确的法律意见：</w:t>
      </w:r>
    </w:p>
    <w:p>
      <w:pPr>
        <w:spacing w:line="560" w:lineRule="exact"/>
        <w:ind w:firstLine="640" w:firstLineChars="200"/>
        <w:rPr>
          <w:rFonts w:hint="eastAsia" w:ascii="Times New Roman" w:hAnsi="Times New Roman" w:eastAsia="CESI仿宋-GB2312"/>
          <w:sz w:val="32"/>
          <w:szCs w:val="32"/>
        </w:rPr>
      </w:pPr>
      <w:r>
        <w:rPr>
          <w:rFonts w:hint="eastAsia" w:ascii="Times New Roman" w:hAnsi="Times New Roman" w:eastAsia="CESI仿宋-GB2312"/>
          <w:sz w:val="32"/>
          <w:szCs w:val="32"/>
        </w:rPr>
        <w:t>一、关于股权情况，请说明：（1）南京明基医院方面，佳世达纳闽与马来西亚明基、南京中医院与国资集团、国资集团与马来西亚明基转让股权的定价依据、价款支付情况及税费缴纳情况，转让价格是否公允、所履行的外汇及国资管理、境外投资等境内监管程序等合规性情况，第七次增加注册资本的实缴情况；（2）苏州明基医院方面，佳世达纳闽与马来西亚明基、高新区发展集团与马来西亚明基转让股权的定价依据、价款支付情况及税费缴纳情况，转让价格是否公允，所履行的外汇及国资管理、境外投资等境内监管程序等合规性情况。</w:t>
      </w:r>
    </w:p>
    <w:p>
      <w:pPr>
        <w:spacing w:line="560" w:lineRule="exact"/>
        <w:ind w:firstLine="640" w:firstLineChars="200"/>
        <w:rPr>
          <w:rFonts w:hint="eastAsia" w:ascii="Times New Roman" w:hAnsi="Times New Roman" w:eastAsia="CESI仿宋-GB2312"/>
          <w:sz w:val="32"/>
          <w:szCs w:val="32"/>
        </w:rPr>
      </w:pPr>
      <w:r>
        <w:rPr>
          <w:rFonts w:hint="eastAsia" w:ascii="Times New Roman" w:hAnsi="Times New Roman" w:eastAsia="CESI仿宋-GB2312"/>
          <w:sz w:val="32"/>
          <w:szCs w:val="32"/>
        </w:rPr>
        <w:t>二、请说明你公司及下属公司经营范围是否涉及国家禁止或限制外商投资的领域，本次发行前后是否持续符合有关外资准入政策。请律师核查并出具明确的法律意见。</w:t>
      </w:r>
    </w:p>
    <w:p>
      <w:pPr>
        <w:spacing w:line="560" w:lineRule="exact"/>
        <w:ind w:firstLine="640" w:firstLineChars="200"/>
        <w:rPr>
          <w:rFonts w:hint="eastAsia" w:ascii="Times New Roman" w:hAnsi="Times New Roman" w:eastAsia="CESI仿宋-GB2312"/>
          <w:sz w:val="32"/>
          <w:szCs w:val="32"/>
        </w:rPr>
      </w:pPr>
      <w:r>
        <w:rPr>
          <w:rFonts w:hint="eastAsia" w:ascii="Times New Roman" w:hAnsi="Times New Roman" w:eastAsia="CESI仿宋-GB2312"/>
          <w:sz w:val="32"/>
          <w:szCs w:val="32"/>
        </w:rPr>
        <w:t>三、请说明你公司及下属公司经营的医疗机构及其从业人员是否具备相关资质，报告期内是否存在超出资质范围经营的行为，报告期内是否存在重大医疗事故或医疗纠纷、行政处罚等。请律师核查并出具明确的法律意见。请提供你公司及下属公司经营的医疗机构经律师鉴证的医疗机构执业许可证复印件。</w:t>
      </w:r>
    </w:p>
    <w:p>
      <w:pPr>
        <w:spacing w:line="560" w:lineRule="exact"/>
        <w:ind w:firstLine="640" w:firstLineChars="200"/>
        <w:rPr>
          <w:rFonts w:hint="eastAsia" w:ascii="Times New Roman" w:hAnsi="Times New Roman" w:eastAsia="CESI仿宋-GB2312"/>
          <w:sz w:val="32"/>
          <w:szCs w:val="32"/>
        </w:rPr>
      </w:pPr>
      <w:r>
        <w:rPr>
          <w:rFonts w:hint="eastAsia" w:ascii="Times New Roman" w:hAnsi="Times New Roman" w:eastAsia="CESI仿宋-GB2312"/>
          <w:sz w:val="32"/>
          <w:szCs w:val="32"/>
        </w:rPr>
        <w:t>四、请说明：（1）你公司及下属公司是否开展互联网诊疗活动，如有，请说明具体业务模式及与收入构成的对应关系，是否已经取得开展互联网诊疗活动的准入许可，是否符合《互联网诊疗管理办法(试行)》、《互联网医院管理办法(试行)》《互联网诊疗监管细则(试行)》等相关法律法规的要求。请律师核查并出具明确的法律意见。（2）你公司及下属公司是否存在与公立医院就医院业务及医疗方案、管理和技术支持服务等存在业务合作的情况，如有，请详细说明合作模式、分成模式等，是否符合《基本医疗卫生与健康促进法》等相关法律法规要求。</w:t>
      </w:r>
    </w:p>
    <w:p>
      <w:pPr>
        <w:spacing w:line="560" w:lineRule="exact"/>
        <w:ind w:firstLine="640" w:firstLineChars="200"/>
        <w:rPr>
          <w:rFonts w:hint="eastAsia" w:ascii="Times New Roman" w:hAnsi="Times New Roman" w:eastAsia="CESI仿宋-GB2312"/>
          <w:sz w:val="32"/>
          <w:szCs w:val="32"/>
        </w:rPr>
      </w:pPr>
      <w:r>
        <w:rPr>
          <w:rFonts w:hint="eastAsia" w:ascii="Times New Roman" w:hAnsi="Times New Roman" w:eastAsia="CESI仿宋-GB2312"/>
          <w:sz w:val="32"/>
          <w:szCs w:val="32"/>
        </w:rPr>
        <w:t>五、请补充说明你公司员工持股平台的运作情况、出资结构、股权激励设置安排、能否明晰至具体个人及各出资人任职情况，并说明员工入股、退股、股权转让等的原因及是否符合有关规定，是否存在争议或纠纷；若存在，是否对本次发行构成障碍。请律师核查并出具明确的法律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六、请说明：你公司开发、运营的网站、APP、小程序等产品收集及储存的客户、供应商等的信息规模以及数据收集使用、境内外本地化存储情况，是否涉及向第三方或向境外提供境内个人用户数据信息，是否符合个人信息出境有关法律法规规定，并说明上市前后对境内个人信息保护和数据安全的安排或措施。</w:t>
      </w:r>
    </w:p>
    <w:p/>
    <w:p>
      <w:pPr>
        <w:spacing w:line="560" w:lineRule="exact"/>
        <w:rPr>
          <w:rFonts w:ascii="CESI仿宋-GB13000" w:hAnsi="CESI仿宋-GB13000" w:eastAsia="CESI仿宋-GB13000" w:cs="CESI仿宋-GB13000"/>
          <w:sz w:val="32"/>
          <w:szCs w:val="32"/>
        </w:rPr>
      </w:pPr>
    </w:p>
    <w:p>
      <w:pPr>
        <w:spacing w:line="560" w:lineRule="exact"/>
        <w:ind w:firstLine="640" w:firstLineChars="200"/>
        <w:rPr>
          <w:rFonts w:ascii="Times New Roman" w:hAnsi="Times New Roman" w:eastAsia="CESI仿宋-GB2312"/>
          <w:sz w:val="32"/>
          <w:szCs w:val="32"/>
        </w:rPr>
      </w:pPr>
    </w:p>
    <w:p>
      <w:pPr>
        <w:spacing w:line="560" w:lineRule="exact"/>
        <w:ind w:firstLine="640" w:firstLineChars="200"/>
        <w:rPr>
          <w:rFonts w:ascii="Times New Roman" w:hAnsi="Times New Roman" w:eastAsia="CESI仿宋-GB2312"/>
          <w:sz w:val="32"/>
          <w:szCs w:val="32"/>
        </w:rPr>
      </w:pPr>
    </w:p>
    <w:p>
      <w:pPr>
        <w:spacing w:line="560" w:lineRule="exact"/>
        <w:ind w:firstLine="640" w:firstLineChars="200"/>
        <w:rPr>
          <w:rFonts w:ascii="Times New Roman" w:hAnsi="Times New Roman" w:eastAsia="CESI仿宋-GB2312"/>
          <w:sz w:val="32"/>
          <w:szCs w:val="32"/>
        </w:rPr>
      </w:pPr>
    </w:p>
    <w:p>
      <w:pPr>
        <w:spacing w:line="560" w:lineRule="exact"/>
        <w:ind w:firstLine="640" w:firstLineChars="200"/>
        <w:rPr>
          <w:rFonts w:ascii="Times New Roman" w:hAnsi="Times New Roman" w:eastAsia="CESI仿宋-GB2312"/>
          <w:sz w:val="32"/>
          <w:szCs w:val="32"/>
        </w:rPr>
      </w:pPr>
    </w:p>
    <w:p>
      <w:pPr>
        <w:spacing w:line="560" w:lineRule="exact"/>
        <w:ind w:firstLine="640" w:firstLineChars="200"/>
        <w:rPr>
          <w:rFonts w:ascii="Times New Roman" w:hAnsi="Times New Roman" w:eastAsia="CESI仿宋-GB2312"/>
          <w:sz w:val="32"/>
          <w:szCs w:val="32"/>
        </w:rPr>
      </w:pPr>
    </w:p>
    <w:p>
      <w:pPr>
        <w:spacing w:line="560" w:lineRule="exact"/>
        <w:ind w:firstLine="640" w:firstLineChars="200"/>
        <w:rPr>
          <w:rFonts w:ascii="Times New Roman" w:hAnsi="Times New Roman" w:eastAsia="CESI仿宋-GB2312"/>
          <w:sz w:val="32"/>
          <w:szCs w:val="32"/>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微软雅黑"/>
    <w:panose1 w:val="00000000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仿宋"/>
    <w:panose1 w:val="00000000000000000000"/>
    <w:charset w:val="00"/>
    <w:family w:val="auto"/>
    <w:pitch w:val="default"/>
    <w:sig w:usb0="00000000" w:usb1="00000000" w:usb2="00000000" w:usb3="00000000" w:csb0="00040000" w:csb1="00000000"/>
  </w:font>
  <w:font w:name="CESI仿宋-GB2312">
    <w:altName w:val="微软雅黑"/>
    <w:panose1 w:val="00000000000000000000"/>
    <w:charset w:val="86"/>
    <w:family w:val="auto"/>
    <w:pitch w:val="default"/>
    <w:sig w:usb0="00000000" w:usb1="00000000" w:usb2="00000010" w:usb3="00000000" w:csb0="0004000F" w:csb1="00000000"/>
  </w:font>
  <w:font w:name="方正黑体_GBK">
    <w:altName w:val="微软雅黑"/>
    <w:panose1 w:val="00000000000000000000"/>
    <w:charset w:val="86"/>
    <w:family w:val="auto"/>
    <w:pitch w:val="default"/>
    <w:sig w:usb0="00000000" w:usb1="00000000" w:usb2="00000000" w:usb3="00000000" w:csb0="00040000" w:csb1="00000000"/>
  </w:font>
  <w:font w:name="CESI仿宋-GB13000">
    <w:altName w:val="微软雅黑"/>
    <w:panose1 w:val="00000000000000000000"/>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dBVQXRQCAAAVBAAADgAAAAAAAAAB&#10;ACAAAAAfAQAAZHJzL2Uyb0RvYy54bWxQSwUGAAAAAAYABgBZAQAApQU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FAA498"/>
    <w:multiLevelType w:val="singleLevel"/>
    <w:tmpl w:val="CFFAA498"/>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0D4F87"/>
    <w:rsid w:val="004C64C5"/>
    <w:rsid w:val="006E3C76"/>
    <w:rsid w:val="0081249F"/>
    <w:rsid w:val="009A16A0"/>
    <w:rsid w:val="0A2B102C"/>
    <w:rsid w:val="0DEFB09E"/>
    <w:rsid w:val="12083213"/>
    <w:rsid w:val="171F6771"/>
    <w:rsid w:val="17F333E4"/>
    <w:rsid w:val="17FD84BC"/>
    <w:rsid w:val="25ED5C0C"/>
    <w:rsid w:val="2AF4F5B0"/>
    <w:rsid w:val="2B7AAE73"/>
    <w:rsid w:val="2CBF98A1"/>
    <w:rsid w:val="2EBF36B2"/>
    <w:rsid w:val="2FB7720B"/>
    <w:rsid w:val="351E34E4"/>
    <w:rsid w:val="355FF2F3"/>
    <w:rsid w:val="35B33B6C"/>
    <w:rsid w:val="37FE54D4"/>
    <w:rsid w:val="37FFA508"/>
    <w:rsid w:val="3BF300A6"/>
    <w:rsid w:val="3BF93528"/>
    <w:rsid w:val="3DFF2E83"/>
    <w:rsid w:val="3F5D02ED"/>
    <w:rsid w:val="3F5E63A9"/>
    <w:rsid w:val="3FFF5109"/>
    <w:rsid w:val="46FB3128"/>
    <w:rsid w:val="4DFCCF35"/>
    <w:rsid w:val="4F67EC1C"/>
    <w:rsid w:val="53F9EC31"/>
    <w:rsid w:val="53FF4AD4"/>
    <w:rsid w:val="577F03F8"/>
    <w:rsid w:val="5B3A80D2"/>
    <w:rsid w:val="5CFD5408"/>
    <w:rsid w:val="5EF7CBD7"/>
    <w:rsid w:val="5EFF8778"/>
    <w:rsid w:val="5FBAC526"/>
    <w:rsid w:val="5FD3AB61"/>
    <w:rsid w:val="5FDC53C6"/>
    <w:rsid w:val="5FDFCA51"/>
    <w:rsid w:val="5FFED4F7"/>
    <w:rsid w:val="65FD047C"/>
    <w:rsid w:val="67FDA652"/>
    <w:rsid w:val="67FEE590"/>
    <w:rsid w:val="67FF8589"/>
    <w:rsid w:val="687F6037"/>
    <w:rsid w:val="699B6F97"/>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6D528B5"/>
    <w:rsid w:val="76F3E6A9"/>
    <w:rsid w:val="7707987A"/>
    <w:rsid w:val="774E9DBA"/>
    <w:rsid w:val="7756AE3B"/>
    <w:rsid w:val="77FDDFEE"/>
    <w:rsid w:val="77FF032B"/>
    <w:rsid w:val="77FF0AD3"/>
    <w:rsid w:val="77FF3978"/>
    <w:rsid w:val="78DFC3FA"/>
    <w:rsid w:val="79BF3A2D"/>
    <w:rsid w:val="79FF9C64"/>
    <w:rsid w:val="7AFDCF84"/>
    <w:rsid w:val="7AFF34E5"/>
    <w:rsid w:val="7B779CEC"/>
    <w:rsid w:val="7BB4D7E1"/>
    <w:rsid w:val="7BB6B808"/>
    <w:rsid w:val="7BBF8C02"/>
    <w:rsid w:val="7BD3A58F"/>
    <w:rsid w:val="7BF6AE2F"/>
    <w:rsid w:val="7BF6E55C"/>
    <w:rsid w:val="7BFBBAFC"/>
    <w:rsid w:val="7BFDE2F9"/>
    <w:rsid w:val="7BFF2CFD"/>
    <w:rsid w:val="7CBC4E39"/>
    <w:rsid w:val="7CBF9F3A"/>
    <w:rsid w:val="7CF9FD3E"/>
    <w:rsid w:val="7D7F1013"/>
    <w:rsid w:val="7D7FE6EC"/>
    <w:rsid w:val="7DEE8249"/>
    <w:rsid w:val="7DEFD2A7"/>
    <w:rsid w:val="7DFE8840"/>
    <w:rsid w:val="7E5C34B7"/>
    <w:rsid w:val="7EB8C5C1"/>
    <w:rsid w:val="7EEF45C6"/>
    <w:rsid w:val="7EFFA2BF"/>
    <w:rsid w:val="7F3948BB"/>
    <w:rsid w:val="7F799961"/>
    <w:rsid w:val="7F9E9825"/>
    <w:rsid w:val="7FAD2AF3"/>
    <w:rsid w:val="7FADDB1D"/>
    <w:rsid w:val="7FCBA352"/>
    <w:rsid w:val="7FD5D345"/>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2D96"/>
    <w:rsid w:val="B7BF8DEC"/>
    <w:rsid w:val="B8F7BDA9"/>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DBFE4C"/>
    <w:rsid w:val="BFDEFE84"/>
    <w:rsid w:val="BFEF7422"/>
    <w:rsid w:val="C7F72922"/>
    <w:rsid w:val="CDB6DE81"/>
    <w:rsid w:val="CDFAF5B4"/>
    <w:rsid w:val="CF6F1FEB"/>
    <w:rsid w:val="CFBE415F"/>
    <w:rsid w:val="CFEFC41B"/>
    <w:rsid w:val="D47E7E86"/>
    <w:rsid w:val="D637E125"/>
    <w:rsid w:val="DA477FC9"/>
    <w:rsid w:val="DA7D2610"/>
    <w:rsid w:val="DB3B6D81"/>
    <w:rsid w:val="DBE7F07D"/>
    <w:rsid w:val="DBEBCCFD"/>
    <w:rsid w:val="DBF404C9"/>
    <w:rsid w:val="DCFC869C"/>
    <w:rsid w:val="DDE7B892"/>
    <w:rsid w:val="DDFE5719"/>
    <w:rsid w:val="DEEE49F4"/>
    <w:rsid w:val="DFBA9CF4"/>
    <w:rsid w:val="DFD9E41F"/>
    <w:rsid w:val="DFE5A22D"/>
    <w:rsid w:val="DFE7E878"/>
    <w:rsid w:val="DFEF17C0"/>
    <w:rsid w:val="DFF77525"/>
    <w:rsid w:val="E7451F00"/>
    <w:rsid w:val="E77FB003"/>
    <w:rsid w:val="E7E4AAA3"/>
    <w:rsid w:val="E7FDC623"/>
    <w:rsid w:val="E7FFEB4F"/>
    <w:rsid w:val="EA5F50A9"/>
    <w:rsid w:val="EAFD4E19"/>
    <w:rsid w:val="EBDF893F"/>
    <w:rsid w:val="ED7FEABE"/>
    <w:rsid w:val="EDE77F53"/>
    <w:rsid w:val="EDF5B704"/>
    <w:rsid w:val="EE5B869C"/>
    <w:rsid w:val="EEDFA629"/>
    <w:rsid w:val="EEE7BB01"/>
    <w:rsid w:val="EEFBB1C8"/>
    <w:rsid w:val="EFAD22A7"/>
    <w:rsid w:val="EFBFA6BD"/>
    <w:rsid w:val="EFFCA10E"/>
    <w:rsid w:val="F3FBBB12"/>
    <w:rsid w:val="F3FF76A6"/>
    <w:rsid w:val="F5DB4A6F"/>
    <w:rsid w:val="F66FFFBE"/>
    <w:rsid w:val="F67F1AA1"/>
    <w:rsid w:val="F6FF736B"/>
    <w:rsid w:val="F6FF8ABB"/>
    <w:rsid w:val="F7736D80"/>
    <w:rsid w:val="F7DE2618"/>
    <w:rsid w:val="F99E6094"/>
    <w:rsid w:val="F9CB7EDE"/>
    <w:rsid w:val="F9EF4047"/>
    <w:rsid w:val="FAFFD3F9"/>
    <w:rsid w:val="FB7D38C0"/>
    <w:rsid w:val="FBB35640"/>
    <w:rsid w:val="FBEADAD9"/>
    <w:rsid w:val="FBFDA5AC"/>
    <w:rsid w:val="FC7B643D"/>
    <w:rsid w:val="FDBFF543"/>
    <w:rsid w:val="FDDFFD9A"/>
    <w:rsid w:val="FE398695"/>
    <w:rsid w:val="FE572BBB"/>
    <w:rsid w:val="FE7F3A36"/>
    <w:rsid w:val="FEDF5629"/>
    <w:rsid w:val="FEF445FD"/>
    <w:rsid w:val="FEF7DC0E"/>
    <w:rsid w:val="FEFD2E95"/>
    <w:rsid w:val="FEFF005D"/>
    <w:rsid w:val="FEFF6E20"/>
    <w:rsid w:val="FF3522AB"/>
    <w:rsid w:val="FFB9E6AD"/>
    <w:rsid w:val="FFC6C8AE"/>
    <w:rsid w:val="FFEA5764"/>
    <w:rsid w:val="FFEF5A82"/>
    <w:rsid w:val="FFF5A8EC"/>
    <w:rsid w:val="FFFC471C"/>
    <w:rsid w:val="FFFD39A1"/>
    <w:rsid w:val="FFFDC110"/>
    <w:rsid w:val="FFFF2027"/>
    <w:rsid w:val="FFFFD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jc w:val="left"/>
    </w:pPr>
    <w:rPr>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598</Words>
  <Characters>3409</Characters>
  <Lines>28</Lines>
  <Paragraphs>7</Paragraphs>
  <TotalTime>5</TotalTime>
  <ScaleCrop>false</ScaleCrop>
  <LinksUpToDate>false</LinksUpToDate>
  <CharactersWithSpaces>4000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2023-10-29T01:34:00Z</dcterms:created>
  <dc:creator>csrc</dc:creator>
  <cp:lastModifiedBy>Administrator</cp:lastModifiedBy>
  <dcterms:modified xsi:type="dcterms:W3CDTF">2024-05-17T07:57:28Z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6E50D6BC1684E1C319E41065FCFC32D4</vt:lpwstr>
  </property>
</Properties>
</file>