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60" w:lineRule="exact"/>
        <w:ind w:left="0" w:leftChars="0" w:firstLine="0" w:firstLineChars="0"/>
        <w:jc w:val="center"/>
        <w:rPr>
          <w:rFonts w:ascii="Times New Roman" w:hAnsi="Times New Roman" w:eastAsia="方正大标宋简体"/>
          <w:bCs/>
          <w:sz w:val="36"/>
          <w:szCs w:val="36"/>
        </w:rPr>
      </w:pPr>
      <w:r>
        <w:rPr>
          <w:rFonts w:ascii="Times New Roman" w:hAnsi="Times New Roman" w:eastAsia="方正大标宋简体"/>
          <w:bCs/>
          <w:sz w:val="36"/>
          <w:szCs w:val="36"/>
        </w:rPr>
        <w:t>境外发行上市备案补充材料要求</w:t>
      </w:r>
    </w:p>
    <w:p>
      <w:pPr>
        <w:spacing w:line="560" w:lineRule="exact"/>
        <w:ind w:left="0" w:leftChars="0" w:firstLine="0" w:firstLineChars="0"/>
        <w:jc w:val="center"/>
        <w:rPr>
          <w:rFonts w:ascii="Times New Roman" w:hAnsi="Times New Roman" w:eastAsia="方正大标宋简体"/>
          <w:bCs/>
          <w:sz w:val="32"/>
          <w:szCs w:val="32"/>
        </w:rPr>
      </w:pPr>
      <w:r>
        <w:rPr>
          <w:rFonts w:ascii="Times New Roman" w:hAnsi="Times New Roman" w:eastAsia="方正大标宋简体"/>
          <w:bCs/>
          <w:sz w:val="32"/>
          <w:szCs w:val="32"/>
        </w:rPr>
        <w:t>（</w:t>
      </w:r>
      <w:r>
        <w:rPr>
          <w:rFonts w:hint="eastAsia" w:ascii="Times New Roman" w:hAnsi="Times New Roman" w:eastAsia="方正大标宋简体"/>
          <w:bCs/>
          <w:sz w:val="32"/>
          <w:szCs w:val="32"/>
        </w:rPr>
        <w:t>202</w:t>
      </w:r>
      <w:r>
        <w:rPr>
          <w:rFonts w:hint="eastAsia" w:ascii="Times New Roman" w:hAnsi="Times New Roman" w:eastAsia="方正大标宋简体"/>
          <w:bCs/>
          <w:sz w:val="32"/>
          <w:szCs w:val="32"/>
          <w:lang w:val="en-US" w:eastAsia="zh-CN"/>
        </w:rPr>
        <w:t>5</w:t>
      </w:r>
      <w:r>
        <w:rPr>
          <w:rFonts w:hint="eastAsia" w:ascii="Times New Roman" w:hAnsi="Times New Roman" w:eastAsia="方正大标宋简体"/>
          <w:bCs/>
          <w:sz w:val="32"/>
          <w:szCs w:val="32"/>
        </w:rPr>
        <w:t>年</w:t>
      </w:r>
      <w:r>
        <w:rPr>
          <w:rFonts w:hint="eastAsia" w:ascii="Times New Roman" w:hAnsi="Times New Roman" w:eastAsia="方正大标宋简体"/>
          <w:bCs/>
          <w:sz w:val="32"/>
          <w:szCs w:val="32"/>
          <w:lang w:val="en-US" w:eastAsia="zh-CN"/>
        </w:rPr>
        <w:t>1</w:t>
      </w:r>
      <w:r>
        <w:rPr>
          <w:rFonts w:hint="eastAsia" w:ascii="Times New Roman" w:hAnsi="Times New Roman" w:eastAsia="方正大标宋简体"/>
          <w:bCs/>
          <w:sz w:val="32"/>
          <w:szCs w:val="32"/>
        </w:rPr>
        <w:t>月</w:t>
      </w:r>
      <w:r>
        <w:rPr>
          <w:rFonts w:hint="eastAsia" w:ascii="Times New Roman" w:hAnsi="Times New Roman" w:eastAsia="方正大标宋简体"/>
          <w:bCs/>
          <w:sz w:val="32"/>
          <w:szCs w:val="32"/>
          <w:lang w:val="en-US" w:eastAsia="zh-CN"/>
        </w:rPr>
        <w:t>24</w:t>
      </w:r>
      <w:r>
        <w:rPr>
          <w:rFonts w:hint="eastAsia" w:ascii="Times New Roman" w:hAnsi="Times New Roman" w:eastAsia="方正大标宋简体"/>
          <w:bCs/>
          <w:sz w:val="32"/>
          <w:szCs w:val="32"/>
        </w:rPr>
        <w:t>日—202</w:t>
      </w:r>
      <w:r>
        <w:rPr>
          <w:rFonts w:hint="eastAsia" w:ascii="Times New Roman" w:hAnsi="Times New Roman" w:eastAsia="方正大标宋简体"/>
          <w:bCs/>
          <w:sz w:val="32"/>
          <w:szCs w:val="32"/>
          <w:lang w:val="en-US" w:eastAsia="zh-CN"/>
        </w:rPr>
        <w:t>5</w:t>
      </w:r>
      <w:r>
        <w:rPr>
          <w:rFonts w:hint="eastAsia" w:ascii="Times New Roman" w:hAnsi="Times New Roman" w:eastAsia="方正大标宋简体"/>
          <w:bCs/>
          <w:sz w:val="32"/>
          <w:szCs w:val="32"/>
        </w:rPr>
        <w:t>年</w:t>
      </w:r>
      <w:r>
        <w:rPr>
          <w:rFonts w:hint="eastAsia" w:ascii="Times New Roman" w:hAnsi="Times New Roman" w:eastAsia="方正大标宋简体"/>
          <w:bCs/>
          <w:sz w:val="32"/>
          <w:szCs w:val="32"/>
          <w:lang w:val="en-US" w:eastAsia="zh-CN"/>
        </w:rPr>
        <w:t>2</w:t>
      </w:r>
      <w:r>
        <w:rPr>
          <w:rFonts w:hint="eastAsia" w:ascii="Times New Roman" w:hAnsi="Times New Roman" w:eastAsia="方正大标宋简体"/>
          <w:bCs/>
          <w:sz w:val="32"/>
          <w:szCs w:val="32"/>
        </w:rPr>
        <w:t>月</w:t>
      </w:r>
      <w:r>
        <w:rPr>
          <w:rFonts w:hint="eastAsia" w:ascii="Times New Roman" w:hAnsi="Times New Roman" w:eastAsia="方正大标宋简体"/>
          <w:bCs/>
          <w:sz w:val="32"/>
          <w:szCs w:val="32"/>
          <w:lang w:val="en-US" w:eastAsia="zh-CN"/>
        </w:rPr>
        <w:t>7</w:t>
      </w:r>
      <w:r>
        <w:rPr>
          <w:rFonts w:hint="eastAsia" w:ascii="Times New Roman" w:hAnsi="Times New Roman" w:eastAsia="方正大标宋简体"/>
          <w:bCs/>
          <w:sz w:val="32"/>
          <w:szCs w:val="32"/>
        </w:rPr>
        <w:t>日</w:t>
      </w:r>
      <w:r>
        <w:rPr>
          <w:rFonts w:ascii="Times New Roman" w:hAnsi="Times New Roman" w:eastAsia="方正大标宋简体"/>
          <w:bCs/>
          <w:sz w:val="32"/>
          <w:szCs w:val="32"/>
        </w:rPr>
        <w:t>）</w:t>
      </w:r>
    </w:p>
    <w:p>
      <w:pPr>
        <w:spacing w:line="560" w:lineRule="exact"/>
        <w:ind w:firstLine="560" w:firstLineChars="200"/>
        <w:jc w:val="center"/>
        <w:rPr>
          <w:rFonts w:ascii="Times New Roman" w:hAnsi="Times New Roman" w:eastAsia="sysfST"/>
          <w:b/>
          <w:sz w:val="28"/>
          <w:szCs w:val="28"/>
        </w:rPr>
      </w:pPr>
    </w:p>
    <w:p>
      <w:pPr>
        <w:spacing w:line="560" w:lineRule="exact"/>
        <w:ind w:firstLine="640" w:firstLineChars="200"/>
        <w:rPr>
          <w:rFonts w:hint="eastAsia" w:ascii="Times New Roman" w:hAnsi="Times New Roman" w:eastAsia="仿宋_GB2312"/>
          <w:sz w:val="32"/>
          <w:szCs w:val="32"/>
          <w:lang w:eastAsia="zh-CN"/>
        </w:rPr>
      </w:pPr>
      <w:r>
        <w:rPr>
          <w:rFonts w:ascii="Times New Roman" w:hAnsi="Times New Roman" w:eastAsia="仿宋_GB2312"/>
          <w:sz w:val="32"/>
          <w:szCs w:val="32"/>
        </w:rPr>
        <w:t>本周国</w:t>
      </w:r>
      <w:r>
        <w:rPr>
          <w:rFonts w:ascii="Times New Roman" w:hAnsi="Times New Roman" w:eastAsia="仿宋_GB2312"/>
          <w:sz w:val="32"/>
          <w:szCs w:val="32"/>
          <w:highlight w:val="none"/>
        </w:rPr>
        <w:t>际</w:t>
      </w:r>
      <w:r>
        <w:rPr>
          <w:rFonts w:hint="eastAsia" w:ascii="Times New Roman" w:hAnsi="Times New Roman" w:eastAsia="仿宋_GB2312"/>
          <w:sz w:val="32"/>
          <w:szCs w:val="32"/>
          <w:highlight w:val="none"/>
          <w:lang w:eastAsia="zh-CN"/>
        </w:rPr>
        <w:t>司</w:t>
      </w:r>
      <w:r>
        <w:rPr>
          <w:rFonts w:ascii="Times New Roman" w:hAnsi="Times New Roman" w:eastAsia="仿宋_GB2312"/>
          <w:sz w:val="32"/>
          <w:szCs w:val="32"/>
          <w:highlight w:val="none"/>
        </w:rPr>
        <w:t>共对</w:t>
      </w:r>
      <w:r>
        <w:rPr>
          <w:rFonts w:hint="eastAsia" w:ascii="Times New Roman" w:hAnsi="Times New Roman" w:eastAsia="仿宋_GB2312"/>
          <w:sz w:val="32"/>
          <w:szCs w:val="32"/>
          <w:highlight w:val="none"/>
          <w:lang w:val="en-US" w:eastAsia="zh-CN"/>
        </w:rPr>
        <w:t>2家</w:t>
      </w:r>
      <w:r>
        <w:rPr>
          <w:rFonts w:ascii="Times New Roman" w:hAnsi="Times New Roman" w:eastAsia="仿宋_GB2312"/>
          <w:sz w:val="32"/>
          <w:szCs w:val="32"/>
        </w:rPr>
        <w:t>企业出具补充材料要求</w:t>
      </w:r>
      <w:r>
        <w:rPr>
          <w:rFonts w:hint="eastAsia" w:ascii="Times New Roman" w:hAnsi="Times New Roman" w:eastAsia="仿宋_GB2312"/>
          <w:sz w:val="32"/>
          <w:szCs w:val="32"/>
          <w:lang w:eastAsia="zh-CN"/>
        </w:rPr>
        <w:t>，</w:t>
      </w:r>
      <w:r>
        <w:rPr>
          <w:rFonts w:ascii="Times New Roman" w:hAnsi="Times New Roman" w:eastAsia="仿宋_GB2312"/>
          <w:sz w:val="32"/>
          <w:szCs w:val="32"/>
        </w:rPr>
        <w:t>具体如下</w:t>
      </w:r>
      <w:r>
        <w:rPr>
          <w:rFonts w:hint="eastAsia" w:ascii="Times New Roman" w:hAnsi="Times New Roman" w:eastAsia="仿宋_GB2312"/>
          <w:sz w:val="32"/>
          <w:szCs w:val="32"/>
          <w:lang w:eastAsia="zh-CN"/>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黑体_GBK" w:cs="Times New Roman"/>
          <w:sz w:val="32"/>
          <w:szCs w:val="32"/>
          <w:lang w:val="en-US" w:eastAsia="zh-CN"/>
        </w:rPr>
      </w:pPr>
      <w:r>
        <w:rPr>
          <w:rFonts w:hint="eastAsia" w:ascii="Times New Roman" w:hAnsi="Times New Roman" w:eastAsia="方正黑体_GBK" w:cs="Times New Roman"/>
          <w:sz w:val="32"/>
          <w:szCs w:val="32"/>
          <w:lang w:val="en-US" w:eastAsia="zh-CN"/>
        </w:rPr>
        <w:t>优蓝国际（已发出备案通知书</w:t>
      </w:r>
      <w:bookmarkStart w:id="0" w:name="_GoBack"/>
      <w:bookmarkEnd w:id="0"/>
      <w:r>
        <w:rPr>
          <w:rFonts w:hint="eastAsia" w:ascii="Times New Roman" w:hAnsi="Times New Roman" w:eastAsia="方正黑体_GBK" w:cs="Times New Roman"/>
          <w:sz w:val="32"/>
          <w:szCs w:val="32"/>
          <w:lang w:val="en-US" w:eastAsia="zh-CN"/>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方正仿宋_GBK" w:hAnsi="方正仿宋_GBK" w:eastAsia="方正仿宋_GBK" w:cs="方正仿宋_GBK"/>
          <w:sz w:val="32"/>
          <w:szCs w:val="32"/>
          <w:lang w:eastAsia="zh-CN"/>
        </w:rPr>
      </w:pPr>
      <w:r>
        <w:rPr>
          <w:rFonts w:hint="eastAsia" w:ascii="方正仿宋_GBK" w:hAnsi="方正仿宋_GBK" w:eastAsia="方正仿宋_GBK" w:cs="方正仿宋_GBK"/>
          <w:sz w:val="32"/>
          <w:szCs w:val="32"/>
          <w:lang w:eastAsia="zh-CN"/>
        </w:rPr>
        <w:t>请你公司就以下事项补充说明，请律师核查并出具明确的法律意见：</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方正仿宋_GBK" w:hAnsi="方正仿宋_GBK" w:eastAsia="方正仿宋_GBK" w:cs="方正仿宋_GBK"/>
          <w:sz w:val="32"/>
          <w:szCs w:val="32"/>
          <w:lang w:eastAsia="zh-CN"/>
        </w:rPr>
      </w:pPr>
      <w:r>
        <w:rPr>
          <w:rFonts w:hint="eastAsia" w:ascii="方正仿宋_GBK" w:hAnsi="方正仿宋_GBK" w:eastAsia="方正仿宋_GBK" w:cs="方正仿宋_GBK"/>
          <w:sz w:val="32"/>
          <w:szCs w:val="32"/>
          <w:lang w:eastAsia="zh-CN"/>
        </w:rPr>
        <w:t>一、关于股权结构及股权变动情况，请说明：（</w:t>
      </w:r>
      <w:r>
        <w:rPr>
          <w:rFonts w:hint="eastAsia" w:ascii="Times New Roman" w:hAnsi="Times New Roman" w:eastAsia="仿宋_GB2312"/>
          <w:sz w:val="32"/>
          <w:szCs w:val="32"/>
          <w:highlight w:val="none"/>
          <w:lang w:val="en-US" w:eastAsia="zh-CN"/>
        </w:rPr>
        <w:t>1</w:t>
      </w:r>
      <w:r>
        <w:rPr>
          <w:rFonts w:hint="eastAsia" w:ascii="方正仿宋_GBK" w:hAnsi="方正仿宋_GBK" w:eastAsia="方正仿宋_GBK" w:cs="方正仿宋_GBK"/>
          <w:sz w:val="32"/>
          <w:szCs w:val="32"/>
          <w:lang w:eastAsia="zh-CN"/>
        </w:rPr>
        <w:t>）实际控制人以及其他间接持有发行人</w:t>
      </w:r>
      <w:r>
        <w:rPr>
          <w:rFonts w:hint="eastAsia" w:ascii="Times New Roman" w:hAnsi="Times New Roman" w:eastAsia="仿宋_GB2312"/>
          <w:sz w:val="32"/>
          <w:szCs w:val="32"/>
          <w:highlight w:val="none"/>
          <w:lang w:val="en-US" w:eastAsia="zh-CN"/>
        </w:rPr>
        <w:t>5%</w:t>
      </w:r>
      <w:r>
        <w:rPr>
          <w:rFonts w:hint="eastAsia" w:ascii="方正仿宋_GBK" w:hAnsi="方正仿宋_GBK" w:eastAsia="方正仿宋_GBK" w:cs="方正仿宋_GBK"/>
          <w:sz w:val="32"/>
          <w:szCs w:val="32"/>
          <w:lang w:eastAsia="zh-CN"/>
        </w:rPr>
        <w:t>以上股份或表决权的自然人股东是否拥有永久境外居留权；（</w:t>
      </w:r>
      <w:r>
        <w:rPr>
          <w:rFonts w:hint="eastAsia" w:ascii="Times New Roman" w:hAnsi="Times New Roman" w:eastAsia="仿宋_GB2312"/>
          <w:sz w:val="32"/>
          <w:szCs w:val="32"/>
          <w:highlight w:val="none"/>
          <w:lang w:val="en-US" w:eastAsia="zh-CN"/>
        </w:rPr>
        <w:t>2</w:t>
      </w:r>
      <w:r>
        <w:rPr>
          <w:rFonts w:hint="eastAsia" w:ascii="方正仿宋_GBK" w:hAnsi="方正仿宋_GBK" w:eastAsia="方正仿宋_GBK" w:cs="方正仿宋_GBK"/>
          <w:sz w:val="32"/>
          <w:szCs w:val="32"/>
          <w:lang w:eastAsia="zh-CN"/>
        </w:rPr>
        <w:t>）香港优服对上海优尔蓝增资，相关价款实际支付情况；（</w:t>
      </w:r>
      <w:r>
        <w:rPr>
          <w:rFonts w:hint="eastAsia" w:ascii="Times New Roman" w:hAnsi="Times New Roman" w:eastAsia="仿宋_GB2312"/>
          <w:sz w:val="32"/>
          <w:szCs w:val="32"/>
          <w:highlight w:val="none"/>
          <w:lang w:val="en-US" w:eastAsia="zh-CN"/>
        </w:rPr>
        <w:t>3</w:t>
      </w:r>
      <w:r>
        <w:rPr>
          <w:rFonts w:hint="eastAsia" w:ascii="方正仿宋_GBK" w:hAnsi="方正仿宋_GBK" w:eastAsia="方正仿宋_GBK" w:cs="方正仿宋_GBK"/>
          <w:sz w:val="32"/>
          <w:szCs w:val="32"/>
          <w:lang w:eastAsia="zh-CN"/>
        </w:rPr>
        <w:t>）优蓝香港收购上海优尔蓝，相关股权转让的定价依据、价款支付、税费缴纳情况；（</w:t>
      </w:r>
      <w:r>
        <w:rPr>
          <w:rFonts w:hint="eastAsia" w:ascii="Times New Roman" w:hAnsi="Times New Roman" w:eastAsia="仿宋_GB2312"/>
          <w:sz w:val="32"/>
          <w:szCs w:val="32"/>
          <w:highlight w:val="none"/>
          <w:lang w:val="en-US" w:eastAsia="zh-CN"/>
        </w:rPr>
        <w:t>4</w:t>
      </w:r>
      <w:r>
        <w:rPr>
          <w:rFonts w:hint="eastAsia" w:ascii="方正仿宋_GBK" w:hAnsi="方正仿宋_GBK" w:eastAsia="方正仿宋_GBK" w:cs="方正仿宋_GBK"/>
          <w:sz w:val="32"/>
          <w:szCs w:val="32"/>
          <w:lang w:eastAsia="zh-CN"/>
        </w:rPr>
        <w:t>）股权架构搭建及返程并购所涉及的外汇管理、境外投资、外商投资、税务管理等方面监管程序合规性的结论性意见；（</w:t>
      </w:r>
      <w:r>
        <w:rPr>
          <w:rFonts w:hint="eastAsia" w:ascii="Times New Roman" w:hAnsi="Times New Roman" w:eastAsia="仿宋_GB2312"/>
          <w:sz w:val="32"/>
          <w:szCs w:val="32"/>
          <w:highlight w:val="none"/>
          <w:lang w:val="en-US" w:eastAsia="zh-CN"/>
        </w:rPr>
        <w:t>5</w:t>
      </w:r>
      <w:r>
        <w:rPr>
          <w:rFonts w:hint="eastAsia" w:ascii="方正仿宋_GBK" w:hAnsi="方正仿宋_GBK" w:eastAsia="方正仿宋_GBK" w:cs="方正仿宋_GBK"/>
          <w:sz w:val="32"/>
          <w:szCs w:val="32"/>
          <w:lang w:eastAsia="zh-CN"/>
        </w:rPr>
        <w:t>）香港优服股东以香港优服股份作为对价认购发行人股份，以及</w:t>
      </w:r>
      <w:r>
        <w:rPr>
          <w:rFonts w:hint="eastAsia" w:ascii="Times New Roman" w:hAnsi="Times New Roman" w:eastAsia="仿宋_GB2312"/>
          <w:sz w:val="32"/>
          <w:szCs w:val="32"/>
          <w:highlight w:val="none"/>
          <w:lang w:val="en-US" w:eastAsia="zh-CN"/>
        </w:rPr>
        <w:t>2021</w:t>
      </w:r>
      <w:r>
        <w:rPr>
          <w:rFonts w:hint="eastAsia" w:ascii="方正仿宋_GBK" w:hAnsi="方正仿宋_GBK" w:eastAsia="方正仿宋_GBK" w:cs="方正仿宋_GBK"/>
          <w:sz w:val="32"/>
          <w:szCs w:val="32"/>
          <w:lang w:val="en-US" w:eastAsia="zh-CN"/>
        </w:rPr>
        <w:t>年</w:t>
      </w:r>
      <w:r>
        <w:rPr>
          <w:rFonts w:hint="eastAsia" w:ascii="Times New Roman" w:hAnsi="Times New Roman" w:eastAsia="仿宋_GB2312"/>
          <w:sz w:val="32"/>
          <w:szCs w:val="32"/>
          <w:highlight w:val="none"/>
          <w:lang w:val="en-US" w:eastAsia="zh-CN"/>
        </w:rPr>
        <w:t>2</w:t>
      </w:r>
      <w:r>
        <w:rPr>
          <w:rFonts w:hint="eastAsia" w:ascii="方正仿宋_GBK" w:hAnsi="方正仿宋_GBK" w:eastAsia="方正仿宋_GBK" w:cs="方正仿宋_GBK"/>
          <w:sz w:val="32"/>
          <w:szCs w:val="32"/>
          <w:lang w:val="en-US" w:eastAsia="zh-CN"/>
        </w:rPr>
        <w:t>月至</w:t>
      </w:r>
      <w:r>
        <w:rPr>
          <w:rFonts w:hint="eastAsia" w:ascii="Times New Roman" w:hAnsi="Times New Roman" w:eastAsia="仿宋_GB2312"/>
          <w:sz w:val="32"/>
          <w:szCs w:val="32"/>
          <w:highlight w:val="none"/>
          <w:lang w:val="en-US" w:eastAsia="zh-CN"/>
        </w:rPr>
        <w:t>2023</w:t>
      </w:r>
      <w:r>
        <w:rPr>
          <w:rFonts w:hint="eastAsia" w:ascii="方正仿宋_GBK" w:hAnsi="方正仿宋_GBK" w:eastAsia="方正仿宋_GBK" w:cs="方正仿宋_GBK"/>
          <w:sz w:val="32"/>
          <w:szCs w:val="32"/>
          <w:lang w:val="en-US" w:eastAsia="zh-CN"/>
        </w:rPr>
        <w:t>年</w:t>
      </w:r>
      <w:r>
        <w:rPr>
          <w:rFonts w:hint="eastAsia" w:ascii="Times New Roman" w:hAnsi="Times New Roman" w:eastAsia="仿宋_GB2312"/>
          <w:sz w:val="32"/>
          <w:szCs w:val="32"/>
          <w:highlight w:val="none"/>
          <w:lang w:val="en-US" w:eastAsia="zh-CN"/>
        </w:rPr>
        <w:t>8</w:t>
      </w:r>
      <w:r>
        <w:rPr>
          <w:rFonts w:hint="eastAsia" w:ascii="方正仿宋_GBK" w:hAnsi="方正仿宋_GBK" w:eastAsia="方正仿宋_GBK" w:cs="方正仿宋_GBK"/>
          <w:sz w:val="32"/>
          <w:szCs w:val="32"/>
          <w:lang w:val="en-US" w:eastAsia="zh-CN"/>
        </w:rPr>
        <w:t>月期间发行人</w:t>
      </w:r>
      <w:r>
        <w:rPr>
          <w:rFonts w:hint="eastAsia" w:ascii="方正仿宋_GBK" w:hAnsi="方正仿宋_GBK" w:eastAsia="方正仿宋_GBK" w:cs="方正仿宋_GBK"/>
          <w:sz w:val="32"/>
          <w:szCs w:val="32"/>
          <w:lang w:eastAsia="zh-CN"/>
        </w:rPr>
        <w:t>股权转让，相关股权转让的税费缴纳情况；（</w:t>
      </w:r>
      <w:r>
        <w:rPr>
          <w:rFonts w:hint="eastAsia" w:ascii="Times New Roman" w:hAnsi="Times New Roman" w:eastAsia="仿宋_GB2312"/>
          <w:sz w:val="32"/>
          <w:szCs w:val="32"/>
          <w:highlight w:val="none"/>
          <w:lang w:val="en-US" w:eastAsia="zh-CN"/>
        </w:rPr>
        <w:t>6</w:t>
      </w:r>
      <w:r>
        <w:rPr>
          <w:rFonts w:hint="eastAsia" w:ascii="方正仿宋_GBK" w:hAnsi="方正仿宋_GBK" w:eastAsia="方正仿宋_GBK" w:cs="方正仿宋_GBK"/>
          <w:sz w:val="32"/>
          <w:szCs w:val="32"/>
          <w:lang w:eastAsia="zh-CN"/>
        </w:rPr>
        <w:t>）列表说明上海优尔蓝外翻前股东和发行人层面股东持股比例对应情况。</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方正仿宋_GBK" w:hAnsi="方正仿宋_GBK" w:eastAsia="方正仿宋_GBK" w:cs="方正仿宋_GBK"/>
          <w:sz w:val="32"/>
          <w:szCs w:val="32"/>
          <w:lang w:eastAsia="zh-CN"/>
        </w:rPr>
      </w:pPr>
      <w:r>
        <w:rPr>
          <w:rFonts w:hint="eastAsia" w:ascii="方正仿宋_GBK" w:hAnsi="方正仿宋_GBK" w:eastAsia="方正仿宋_GBK" w:cs="方正仿宋_GBK"/>
          <w:sz w:val="32"/>
          <w:szCs w:val="32"/>
          <w:lang w:eastAsia="zh-CN"/>
        </w:rPr>
        <w:t>二、关于境内运营实体，（</w:t>
      </w:r>
      <w:r>
        <w:rPr>
          <w:rFonts w:hint="eastAsia" w:ascii="Times New Roman" w:hAnsi="Times New Roman" w:eastAsia="仿宋_GB2312"/>
          <w:sz w:val="32"/>
          <w:szCs w:val="32"/>
          <w:highlight w:val="none"/>
          <w:lang w:val="en-US" w:eastAsia="zh-CN"/>
        </w:rPr>
        <w:t>1</w:t>
      </w:r>
      <w:r>
        <w:rPr>
          <w:rFonts w:hint="eastAsia" w:ascii="方正仿宋_GBK" w:hAnsi="方正仿宋_GBK" w:eastAsia="方正仿宋_GBK" w:cs="方正仿宋_GBK"/>
          <w:sz w:val="32"/>
          <w:szCs w:val="32"/>
          <w:lang w:eastAsia="zh-CN"/>
        </w:rPr>
        <w:t>）部分境内运营实体经营范围涉及市场调查、物业管理，请说明是否实际开展相关经营，如已开展，请说明是否取得相关资质；（</w:t>
      </w:r>
      <w:r>
        <w:rPr>
          <w:rFonts w:hint="eastAsia" w:ascii="Times New Roman" w:hAnsi="Times New Roman" w:eastAsia="仿宋_GB2312"/>
          <w:sz w:val="32"/>
          <w:szCs w:val="32"/>
          <w:highlight w:val="none"/>
          <w:lang w:val="en-US" w:eastAsia="zh-CN"/>
        </w:rPr>
        <w:t>2</w:t>
      </w:r>
      <w:r>
        <w:rPr>
          <w:rFonts w:hint="eastAsia" w:ascii="方正仿宋_GBK" w:hAnsi="方正仿宋_GBK" w:eastAsia="方正仿宋_GBK" w:cs="方正仿宋_GBK"/>
          <w:sz w:val="32"/>
          <w:szCs w:val="32"/>
          <w:lang w:eastAsia="zh-CN"/>
        </w:rPr>
        <w:t>）部分主要境内运营实体存在未决诉讼，请说明相关未决诉讼是否构成本次上市的实质性障碍。</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方正仿宋_GBK" w:hAnsi="方正仿宋_GBK" w:eastAsia="方正仿宋_GBK" w:cs="方正仿宋_GBK"/>
          <w:sz w:val="32"/>
          <w:szCs w:val="32"/>
          <w:lang w:eastAsia="zh-CN"/>
        </w:rPr>
      </w:pPr>
      <w:r>
        <w:rPr>
          <w:rFonts w:hint="eastAsia" w:ascii="方正仿宋_GBK" w:hAnsi="方正仿宋_GBK" w:eastAsia="方正仿宋_GBK" w:cs="方正仿宋_GBK"/>
          <w:sz w:val="32"/>
          <w:szCs w:val="32"/>
          <w:lang w:eastAsia="zh-CN"/>
        </w:rPr>
        <w:t>三、关于规范运作，请说明：（</w:t>
      </w:r>
      <w:r>
        <w:rPr>
          <w:rFonts w:hint="eastAsia" w:ascii="Times New Roman" w:hAnsi="Times New Roman" w:eastAsia="仿宋_GB2312"/>
          <w:sz w:val="32"/>
          <w:szCs w:val="32"/>
          <w:highlight w:val="none"/>
          <w:lang w:val="en-US" w:eastAsia="zh-CN"/>
        </w:rPr>
        <w:t>1</w:t>
      </w:r>
      <w:r>
        <w:rPr>
          <w:rFonts w:hint="eastAsia" w:ascii="方正仿宋_GBK" w:hAnsi="方正仿宋_GBK" w:eastAsia="方正仿宋_GBK" w:cs="方正仿宋_GBK"/>
          <w:sz w:val="32"/>
          <w:szCs w:val="32"/>
          <w:lang w:eastAsia="zh-CN"/>
        </w:rPr>
        <w:t>）境内运营实体涉及的收集及储存个人信息规模、个人信息收集使用情况，是否存在向境外传输数据或向第三方提供个人信息的情形，并说明上市前后信息数据保护的安排或措施；（</w:t>
      </w:r>
      <w:r>
        <w:rPr>
          <w:rFonts w:hint="eastAsia" w:ascii="Times New Roman" w:hAnsi="Times New Roman" w:eastAsia="仿宋_GB2312"/>
          <w:sz w:val="32"/>
          <w:szCs w:val="32"/>
          <w:highlight w:val="none"/>
          <w:lang w:val="en-US" w:eastAsia="zh-CN"/>
        </w:rPr>
        <w:t>2</w:t>
      </w:r>
      <w:r>
        <w:rPr>
          <w:rFonts w:hint="eastAsia" w:ascii="方正仿宋_GBK" w:hAnsi="方正仿宋_GBK" w:eastAsia="方正仿宋_GBK" w:cs="方正仿宋_GBK"/>
          <w:sz w:val="32"/>
          <w:szCs w:val="32"/>
          <w:lang w:eastAsia="zh-CN"/>
        </w:rPr>
        <w:t>）境内运营实体实际从事的电信业务是否超出所持《增值电信业务经营许可证》载明的业务种类。</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黑体_GBK" w:cs="Times New Roman"/>
          <w:sz w:val="32"/>
          <w:szCs w:val="32"/>
          <w:lang w:val="en-US" w:eastAsia="zh-CN"/>
        </w:rPr>
      </w:pPr>
      <w:r>
        <w:rPr>
          <w:rFonts w:hint="eastAsia" w:ascii="方正仿宋_GBK" w:hAnsi="方正仿宋_GBK" w:eastAsia="方正仿宋_GBK" w:cs="方正仿宋_GBK"/>
          <w:sz w:val="32"/>
          <w:szCs w:val="32"/>
          <w:lang w:eastAsia="zh-CN"/>
        </w:rPr>
        <w:t>四、关于员工持股计划和股权激励，（</w:t>
      </w:r>
      <w:r>
        <w:rPr>
          <w:rFonts w:hint="eastAsia" w:ascii="Times New Roman" w:hAnsi="Times New Roman" w:eastAsia="仿宋_GB2312"/>
          <w:sz w:val="32"/>
          <w:szCs w:val="32"/>
          <w:highlight w:val="none"/>
          <w:lang w:val="en-US" w:eastAsia="zh-CN"/>
        </w:rPr>
        <w:t>1</w:t>
      </w:r>
      <w:r>
        <w:rPr>
          <w:rFonts w:hint="eastAsia" w:ascii="方正仿宋_GBK" w:hAnsi="方正仿宋_GBK" w:eastAsia="方正仿宋_GBK" w:cs="方正仿宋_GBK"/>
          <w:sz w:val="32"/>
          <w:szCs w:val="32"/>
          <w:lang w:val="en-US" w:eastAsia="zh-CN"/>
        </w:rPr>
        <w:t>）</w:t>
      </w:r>
      <w:r>
        <w:rPr>
          <w:rFonts w:hint="eastAsia" w:ascii="方正仿宋_GBK" w:hAnsi="方正仿宋_GBK" w:eastAsia="方正仿宋_GBK" w:cs="方正仿宋_GBK"/>
          <w:sz w:val="32"/>
          <w:szCs w:val="32"/>
          <w:lang w:eastAsia="zh-CN"/>
        </w:rPr>
        <w:t>列表说明员工持股计划的授予对象、职务、授予股数、入股价格；（</w:t>
      </w:r>
      <w:r>
        <w:rPr>
          <w:rFonts w:hint="eastAsia" w:ascii="Times New Roman" w:hAnsi="Times New Roman" w:eastAsia="仿宋_GB2312"/>
          <w:sz w:val="32"/>
          <w:szCs w:val="32"/>
          <w:highlight w:val="none"/>
          <w:lang w:val="en-US" w:eastAsia="zh-CN"/>
        </w:rPr>
        <w:t>2</w:t>
      </w:r>
      <w:r>
        <w:rPr>
          <w:rFonts w:hint="eastAsia" w:ascii="方正仿宋_GBK" w:hAnsi="方正仿宋_GBK" w:eastAsia="方正仿宋_GBK" w:cs="方正仿宋_GBK"/>
          <w:sz w:val="32"/>
          <w:szCs w:val="32"/>
          <w:lang w:eastAsia="zh-CN"/>
        </w:rPr>
        <w:t>）请说明刘新水的入股时间、资金来源、入股价格与员工入股价格的对比情况，并说明其作为外部人员通过员工持股平台持股的合规性；（</w:t>
      </w:r>
      <w:r>
        <w:rPr>
          <w:rFonts w:hint="eastAsia" w:ascii="Times New Roman" w:hAnsi="Times New Roman" w:eastAsia="仿宋_GB2312"/>
          <w:sz w:val="32"/>
          <w:szCs w:val="32"/>
          <w:highlight w:val="none"/>
          <w:lang w:val="en-US" w:eastAsia="zh-CN"/>
        </w:rPr>
        <w:t>3</w:t>
      </w:r>
      <w:r>
        <w:rPr>
          <w:rFonts w:hint="eastAsia" w:ascii="方正仿宋_GBK" w:hAnsi="方正仿宋_GBK" w:eastAsia="方正仿宋_GBK" w:cs="方正仿宋_GBK"/>
          <w:sz w:val="32"/>
          <w:szCs w:val="32"/>
          <w:lang w:eastAsia="zh-CN"/>
        </w:rPr>
        <w:t>）请就员工持股计划和股权激励是否存在利益输送出具合规性意见。</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方正黑体_GBK" w:cs="Times New Roman"/>
          <w:sz w:val="32"/>
          <w:szCs w:val="32"/>
          <w:lang w:val="en-US" w:eastAsia="zh-CN"/>
        </w:rPr>
      </w:pPr>
      <w:r>
        <w:rPr>
          <w:rFonts w:hint="eastAsia" w:ascii="Times New Roman" w:hAnsi="Times New Roman" w:eastAsia="方正黑体_GBK" w:cs="Times New Roman"/>
          <w:sz w:val="32"/>
          <w:szCs w:val="32"/>
          <w:lang w:val="en-US" w:eastAsia="zh-CN"/>
        </w:rPr>
        <w:t>文达通</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CESI仿宋-GB2312" w:hAnsi="CESI仿宋-GB2312" w:eastAsia="CESI仿宋-GB2312" w:cs="CESI仿宋-GB2312"/>
          <w:sz w:val="32"/>
          <w:szCs w:val="32"/>
        </w:rPr>
      </w:pPr>
      <w:r>
        <w:rPr>
          <w:rFonts w:hint="eastAsia" w:ascii="CESI仿宋-GB2312" w:hAnsi="CESI仿宋-GB2312" w:eastAsia="CESI仿宋-GB2312" w:cs="CESI仿宋-GB2312"/>
          <w:sz w:val="32"/>
          <w:szCs w:val="32"/>
        </w:rPr>
        <w:t>请你公司就以下事项补充说明，请律师核查并出具明确的法律意见:</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CESI仿宋-GB2312" w:hAnsi="CESI仿宋-GB2312" w:eastAsia="CESI仿宋-GB2312" w:cs="CESI仿宋-GB2312"/>
          <w:sz w:val="32"/>
          <w:szCs w:val="32"/>
        </w:rPr>
      </w:pPr>
      <w:r>
        <w:rPr>
          <w:rFonts w:hint="eastAsia" w:ascii="CESI仿宋-GB2312" w:hAnsi="CESI仿宋-GB2312" w:eastAsia="CESI仿宋-GB2312" w:cs="CESI仿宋-GB2312"/>
          <w:sz w:val="32"/>
          <w:szCs w:val="32"/>
          <w:lang w:eastAsia="zh-CN"/>
        </w:rPr>
        <w:t>一、</w:t>
      </w:r>
      <w:r>
        <w:rPr>
          <w:rFonts w:hint="eastAsia" w:ascii="CESI仿宋-GB2312" w:hAnsi="CESI仿宋-GB2312" w:eastAsia="CESI仿宋-GB2312" w:cs="CESI仿宋-GB2312"/>
          <w:sz w:val="32"/>
          <w:szCs w:val="32"/>
        </w:rPr>
        <w:t>关于业务经营，请说明：（</w:t>
      </w:r>
      <w:r>
        <w:rPr>
          <w:rFonts w:hint="eastAsia" w:ascii="Times New Roman" w:hAnsi="Times New Roman" w:eastAsia="仿宋_GB2312"/>
          <w:sz w:val="32"/>
          <w:szCs w:val="32"/>
          <w:highlight w:val="none"/>
          <w:lang w:val="en-US" w:eastAsia="zh-CN"/>
        </w:rPr>
        <w:t>1</w:t>
      </w:r>
      <w:r>
        <w:rPr>
          <w:rFonts w:hint="eastAsia" w:ascii="CESI仿宋-GB2312" w:hAnsi="CESI仿宋-GB2312" w:eastAsia="CESI仿宋-GB2312" w:cs="CESI仿宋-GB2312"/>
          <w:sz w:val="32"/>
          <w:szCs w:val="32"/>
        </w:rPr>
        <w:t>）你公司及下属公司从事住房租赁、房地产经纪、房屋拆迁服务的具体情况，是否实际开展房地产开发业务，如是，请说明房地产开发业务及其他房地产业务占营业收入和利润的比重及业务合规性;（</w:t>
      </w:r>
      <w:r>
        <w:rPr>
          <w:rFonts w:hint="eastAsia" w:ascii="Times New Roman" w:hAnsi="Times New Roman" w:eastAsia="仿宋_GB2312"/>
          <w:sz w:val="32"/>
          <w:szCs w:val="32"/>
          <w:highlight w:val="none"/>
          <w:lang w:val="en-US" w:eastAsia="zh-CN"/>
        </w:rPr>
        <w:t>2</w:t>
      </w:r>
      <w:r>
        <w:rPr>
          <w:rFonts w:hint="eastAsia" w:ascii="CESI仿宋-GB2312" w:hAnsi="CESI仿宋-GB2312" w:eastAsia="CESI仿宋-GB2312" w:cs="CESI仿宋-GB2312"/>
          <w:sz w:val="32"/>
          <w:szCs w:val="32"/>
        </w:rPr>
        <w:t>）你公司及下属公司经营范围包含广告发布，是否实际开展广告业务，并说明具体运营情况;(</w:t>
      </w:r>
      <w:r>
        <w:rPr>
          <w:rFonts w:hint="eastAsia" w:ascii="Times New Roman" w:hAnsi="Times New Roman" w:eastAsia="仿宋_GB2312"/>
          <w:sz w:val="32"/>
          <w:szCs w:val="32"/>
          <w:highlight w:val="none"/>
          <w:lang w:val="en-US" w:eastAsia="zh-CN"/>
        </w:rPr>
        <w:t>3</w:t>
      </w:r>
      <w:r>
        <w:rPr>
          <w:rFonts w:hint="eastAsia" w:ascii="CESI仿宋-GB2312" w:hAnsi="CESI仿宋-GB2312" w:eastAsia="CESI仿宋-GB2312" w:cs="CESI仿宋-GB2312"/>
          <w:sz w:val="32"/>
          <w:szCs w:val="32"/>
        </w:rPr>
        <w:t>）你公司及下属公司开发及运营</w:t>
      </w:r>
      <w:r>
        <w:rPr>
          <w:rFonts w:hint="eastAsia" w:ascii="Times New Roman" w:hAnsi="Times New Roman" w:eastAsia="仿宋_GB2312"/>
          <w:sz w:val="32"/>
          <w:szCs w:val="32"/>
          <w:highlight w:val="none"/>
          <w:lang w:val="en-US" w:eastAsia="zh-CN"/>
        </w:rPr>
        <w:t>APP</w:t>
      </w:r>
      <w:r>
        <w:rPr>
          <w:rFonts w:hint="eastAsia" w:ascii="CESI仿宋-GB2312" w:hAnsi="CESI仿宋-GB2312" w:eastAsia="CESI仿宋-GB2312" w:cs="CESI仿宋-GB2312"/>
          <w:sz w:val="32"/>
          <w:szCs w:val="32"/>
        </w:rPr>
        <w:t>、小程序、公众号等产品情况，是否涉及收集和使用个人信息，如有，请说明收集及储存的用户信息规模、数据收集使用情况。</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CESI仿宋-GB2312" w:hAnsi="CESI仿宋-GB2312" w:eastAsia="CESI仿宋-GB2312" w:cs="CESI仿宋-GB2312"/>
          <w:sz w:val="32"/>
          <w:szCs w:val="32"/>
          <w:lang w:eastAsia="zh-CN"/>
        </w:rPr>
      </w:pPr>
      <w:r>
        <w:rPr>
          <w:rFonts w:hint="eastAsia" w:ascii="CESI仿宋-GB2312" w:hAnsi="CESI仿宋-GB2312" w:eastAsia="CESI仿宋-GB2312" w:cs="CESI仿宋-GB2312"/>
          <w:sz w:val="32"/>
          <w:szCs w:val="32"/>
          <w:lang w:eastAsia="zh-CN"/>
        </w:rPr>
        <w:t>二、</w:t>
      </w:r>
      <w:r>
        <w:rPr>
          <w:rFonts w:hint="eastAsia" w:ascii="CESI仿宋-GB2312" w:hAnsi="CESI仿宋-GB2312" w:eastAsia="CESI仿宋-GB2312" w:cs="CESI仿宋-GB2312"/>
          <w:sz w:val="32"/>
          <w:szCs w:val="32"/>
        </w:rPr>
        <w:t>请说明你公司前期进行</w:t>
      </w:r>
      <w:r>
        <w:rPr>
          <w:rFonts w:hint="eastAsia" w:ascii="Times New Roman" w:hAnsi="Times New Roman" w:eastAsia="仿宋_GB2312"/>
          <w:sz w:val="32"/>
          <w:szCs w:val="32"/>
          <w:highlight w:val="none"/>
          <w:lang w:val="en-US" w:eastAsia="zh-CN"/>
        </w:rPr>
        <w:t>A</w:t>
      </w:r>
      <w:r>
        <w:rPr>
          <w:rFonts w:hint="eastAsia" w:ascii="CESI仿宋-GB2312" w:hAnsi="CESI仿宋-GB2312" w:eastAsia="CESI仿宋-GB2312" w:cs="CESI仿宋-GB2312"/>
          <w:sz w:val="32"/>
          <w:szCs w:val="32"/>
        </w:rPr>
        <w:t>股上市辅导备案的详细情况，是否计划继续推进</w:t>
      </w:r>
      <w:r>
        <w:rPr>
          <w:rFonts w:hint="eastAsia" w:ascii="Times New Roman" w:hAnsi="Times New Roman" w:eastAsia="仿宋_GB2312"/>
          <w:sz w:val="32"/>
          <w:szCs w:val="32"/>
          <w:highlight w:val="none"/>
          <w:lang w:val="en-US" w:eastAsia="zh-CN"/>
        </w:rPr>
        <w:t>A</w:t>
      </w:r>
      <w:r>
        <w:rPr>
          <w:rFonts w:hint="eastAsia" w:ascii="CESI仿宋-GB2312" w:hAnsi="CESI仿宋-GB2312" w:eastAsia="CESI仿宋-GB2312" w:cs="CESI仿宋-GB2312"/>
          <w:sz w:val="32"/>
          <w:szCs w:val="32"/>
        </w:rPr>
        <w:t>股上市计划及具体安排，是否存在对本次发行上市产生重大影响的情形。</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CESI仿宋-GB2312" w:hAnsi="CESI仿宋-GB2312" w:eastAsia="CESI仿宋-GB2312" w:cs="CESI仿宋-GB2312"/>
          <w:sz w:val="32"/>
          <w:szCs w:val="32"/>
          <w:lang w:eastAsia="zh-CN"/>
        </w:rPr>
      </w:pP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CESI仿宋-GB2312" w:hAnsi="CESI仿宋-GB2312" w:eastAsia="CESI仿宋-GB2312" w:cs="CESI仿宋-GB2312"/>
          <w:sz w:val="32"/>
          <w:szCs w:val="32"/>
          <w:lang w:eastAsia="zh-CN"/>
        </w:rPr>
      </w:pP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CESI仿宋-GB2312" w:hAnsi="CESI仿宋-GB2312" w:eastAsia="CESI仿宋-GB2312" w:cs="CESI仿宋-GB2312"/>
          <w:sz w:val="32"/>
          <w:szCs w:val="32"/>
          <w:lang w:val="en-US" w:eastAsia="zh-CN"/>
        </w:rPr>
      </w:pPr>
    </w:p>
    <w:sectPr>
      <w:headerReference r:id="rId3" w:type="default"/>
      <w:foot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微软雅黑"/>
    <w:panose1 w:val="020F0502020204030204"/>
    <w:charset w:val="00"/>
    <w:family w:val="swiss"/>
    <w:pitch w:val="default"/>
    <w:sig w:usb0="00000000" w:usb1="00000000" w:usb2="00000001" w:usb3="00000000" w:csb0="0000019F" w:csb1="00000000"/>
  </w:font>
  <w:font w:name="方正大标宋简体">
    <w:altName w:val="微软雅黑"/>
    <w:panose1 w:val="03000509000000000000"/>
    <w:charset w:val="00"/>
    <w:family w:val="auto"/>
    <w:pitch w:val="default"/>
    <w:sig w:usb0="00000000" w:usb1="00000000" w:usb2="00000000" w:usb3="00000000" w:csb0="00040000" w:csb1="00000000"/>
  </w:font>
  <w:font w:name="sysfST">
    <w:altName w:val="微软雅黑"/>
    <w:panose1 w:val="00000000000000000000"/>
    <w:charset w:val="00"/>
    <w:family w:val="auto"/>
    <w:pitch w:val="default"/>
    <w:sig w:usb0="00000000" w:usb1="00000000" w:usb2="00000000" w:usb3="00000000" w:csb0="00040001" w:csb1="00000000"/>
  </w:font>
  <w:font w:name="仿宋_GB2312">
    <w:altName w:val="微软雅黑"/>
    <w:panose1 w:val="02010609030101010101"/>
    <w:charset w:val="00"/>
    <w:family w:val="auto"/>
    <w:pitch w:val="default"/>
    <w:sig w:usb0="00000000" w:usb1="00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方正仿宋_GBK">
    <w:panose1 w:val="02000000000000000000"/>
    <w:charset w:val="86"/>
    <w:family w:val="auto"/>
    <w:pitch w:val="default"/>
    <w:sig w:usb0="00000001" w:usb1="08000000" w:usb2="00000000" w:usb3="00000000" w:csb0="00040000" w:csb1="00000000"/>
  </w:font>
  <w:font w:name="CESI仿宋-GB2312">
    <w:panose1 w:val="02000500000000000000"/>
    <w:charset w:val="86"/>
    <w:family w:val="auto"/>
    <w:pitch w:val="default"/>
    <w:sig w:usb0="800002AF" w:usb1="084F6CF8" w:usb2="00000010" w:usb3="00000000" w:csb0="0004000F" w:csb1="00000000"/>
  </w:font>
  <w:font w:name="方正书宋_GBK">
    <w:panose1 w:val="02000000000000000000"/>
    <w:charset w:val="86"/>
    <w:family w:val="auto"/>
    <w:pitch w:val="default"/>
    <w:sig w:usb0="00000001" w:usb1="08000000" w:usb2="00000000" w:usb3="00000000" w:csb0="00040000" w:csb1="00000000"/>
  </w:font>
  <w:font w:name="微软雅黑">
    <w:panose1 w:val="020B0503020204020204"/>
    <w:charset w:val="86"/>
    <w:family w:val="auto"/>
    <w:pitch w:val="default"/>
    <w:sig w:usb0="80000287" w:usb1="280F3C52" w:usb2="00000016" w:usb3="00000000" w:csb0="0004001F" w:csb1="00000000"/>
  </w:font>
  <w:font w:name="DejaVu Sans">
    <w:panose1 w:val="020B0603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w="6350">
                        <a:noFill/>
                      </a:ln>
                      <a:effectLst/>
                    </wps:spPr>
                    <wps:txbx>
                      <w:txbxContent>
                        <w:p>
                          <w:pPr>
                            <w:pStyle w:val="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false" anchor="t" anchorCtr="false" forceAA="false" upright="false" compatLnSpc="true">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FgAAAGRycy9QSwECFAAU&#10;AAAACACHTuJAs0lY7tAAAAAFAQAADwAAAAAAAAABACAAAAA4AAAAZHJzL2Rvd25yZXYueG1sUEsB&#10;AhQAFAAAAAgAh07iQGUktTAgAgAANwQAAA4AAAAAAAAAAQAgAAAANQEAAGRycy9lMm9Eb2MueG1s&#10;UEsFBgAAAAAGAAYAWQEAAMcFAAAAAA==&#10;">
              <v:fill on="f" focussize="0,0"/>
              <v:stroke on="f" weight="0.5pt"/>
              <v:imagedata o:title=""/>
              <o:lock v:ext="edit" aspectratio="f"/>
              <v:textbox inset="0mm,0mm,0mm,0mm" style="mso-fit-shape-to-text:t;">
                <w:txbxContent>
                  <w:p>
                    <w:pPr>
                      <w:pStyle w:val="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false"/>
  <w:bordersDoNotSurroundFooter w:val="false"/>
  <w:documentProtection w:enforcement="0"/>
  <w:defaultTabStop w:val="420"/>
  <w:hyphenationZone w:val="360"/>
  <w:drawingGridVerticalSpacing w:val="156"/>
  <w:displayHorizontalDrawingGridEvery w:val="1"/>
  <w:displayVerticalDrawingGridEvery w:val="1"/>
  <w:noPunctuationKerning w:val="true"/>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CDFAF5B4"/>
    <w:rsid w:val="005A5692"/>
    <w:rsid w:val="05652FA1"/>
    <w:rsid w:val="0A2B102C"/>
    <w:rsid w:val="0DEFB09E"/>
    <w:rsid w:val="0FF9EF93"/>
    <w:rsid w:val="171F6771"/>
    <w:rsid w:val="17F333E4"/>
    <w:rsid w:val="17FD84BC"/>
    <w:rsid w:val="185C7EE9"/>
    <w:rsid w:val="1D4B0807"/>
    <w:rsid w:val="21BB4486"/>
    <w:rsid w:val="2453322D"/>
    <w:rsid w:val="255DE78B"/>
    <w:rsid w:val="25ED5C0C"/>
    <w:rsid w:val="291D2AE2"/>
    <w:rsid w:val="2AF4F5B0"/>
    <w:rsid w:val="2B7AAE73"/>
    <w:rsid w:val="2C8F9EF0"/>
    <w:rsid w:val="2CBF98A1"/>
    <w:rsid w:val="2E63AAAF"/>
    <w:rsid w:val="2EBF36B2"/>
    <w:rsid w:val="2FB7720B"/>
    <w:rsid w:val="2FD96C99"/>
    <w:rsid w:val="2FED94B0"/>
    <w:rsid w:val="2FF5E8BD"/>
    <w:rsid w:val="2FFB93B4"/>
    <w:rsid w:val="33FF0EAD"/>
    <w:rsid w:val="351E34E4"/>
    <w:rsid w:val="355FF2F3"/>
    <w:rsid w:val="35B33B6C"/>
    <w:rsid w:val="35BD5691"/>
    <w:rsid w:val="37FE54D4"/>
    <w:rsid w:val="37FFA508"/>
    <w:rsid w:val="395F23BC"/>
    <w:rsid w:val="3BF300A6"/>
    <w:rsid w:val="3BF93528"/>
    <w:rsid w:val="3DFF2E83"/>
    <w:rsid w:val="3EF7CE44"/>
    <w:rsid w:val="3F5D02ED"/>
    <w:rsid w:val="3F5E63A9"/>
    <w:rsid w:val="3FBE5D31"/>
    <w:rsid w:val="3FF3B4EB"/>
    <w:rsid w:val="3FF77D9F"/>
    <w:rsid w:val="3FFF5109"/>
    <w:rsid w:val="43BF1CD8"/>
    <w:rsid w:val="467EA25A"/>
    <w:rsid w:val="46FB3128"/>
    <w:rsid w:val="4AFC1F7C"/>
    <w:rsid w:val="4DF7FA69"/>
    <w:rsid w:val="4DFCCF35"/>
    <w:rsid w:val="4F67EC1C"/>
    <w:rsid w:val="4F9F7159"/>
    <w:rsid w:val="4FD555C3"/>
    <w:rsid w:val="537B2CCB"/>
    <w:rsid w:val="53F9EC31"/>
    <w:rsid w:val="53FF4AD4"/>
    <w:rsid w:val="56732FAB"/>
    <w:rsid w:val="575F59D4"/>
    <w:rsid w:val="577F03F8"/>
    <w:rsid w:val="59EAA982"/>
    <w:rsid w:val="59FDEF05"/>
    <w:rsid w:val="5B3A80D2"/>
    <w:rsid w:val="5BFEEAF0"/>
    <w:rsid w:val="5CFD5408"/>
    <w:rsid w:val="5D1E63DC"/>
    <w:rsid w:val="5DABF72F"/>
    <w:rsid w:val="5EF7CBD7"/>
    <w:rsid w:val="5EFF8778"/>
    <w:rsid w:val="5F7EEB54"/>
    <w:rsid w:val="5FBAC526"/>
    <w:rsid w:val="5FBD0436"/>
    <w:rsid w:val="5FBEF08F"/>
    <w:rsid w:val="5FD3AB61"/>
    <w:rsid w:val="5FDC53C6"/>
    <w:rsid w:val="5FDFCA51"/>
    <w:rsid w:val="5FEEB703"/>
    <w:rsid w:val="5FFB43CC"/>
    <w:rsid w:val="5FFED4F7"/>
    <w:rsid w:val="64221F00"/>
    <w:rsid w:val="64D87F31"/>
    <w:rsid w:val="65FD047C"/>
    <w:rsid w:val="67FBB9AF"/>
    <w:rsid w:val="67FDA652"/>
    <w:rsid w:val="67FEE590"/>
    <w:rsid w:val="67FF8589"/>
    <w:rsid w:val="687F6037"/>
    <w:rsid w:val="689FB0EA"/>
    <w:rsid w:val="695D5B7B"/>
    <w:rsid w:val="699B6F97"/>
    <w:rsid w:val="6A6F589E"/>
    <w:rsid w:val="6BE93B6A"/>
    <w:rsid w:val="6C2CFD0C"/>
    <w:rsid w:val="6CFFD41B"/>
    <w:rsid w:val="6D7F7769"/>
    <w:rsid w:val="6D7FFA4E"/>
    <w:rsid w:val="6E7B572D"/>
    <w:rsid w:val="6F3CEBE0"/>
    <w:rsid w:val="6F63236F"/>
    <w:rsid w:val="6F6F30D8"/>
    <w:rsid w:val="6F77AED1"/>
    <w:rsid w:val="6FB7BF97"/>
    <w:rsid w:val="6FBFA923"/>
    <w:rsid w:val="6FD7D002"/>
    <w:rsid w:val="6FEC159A"/>
    <w:rsid w:val="6FFD88D1"/>
    <w:rsid w:val="6FFF548D"/>
    <w:rsid w:val="71BC27D3"/>
    <w:rsid w:val="71EB6D43"/>
    <w:rsid w:val="71EFC2FB"/>
    <w:rsid w:val="727B92DA"/>
    <w:rsid w:val="7387391C"/>
    <w:rsid w:val="73BE761E"/>
    <w:rsid w:val="73FEEA08"/>
    <w:rsid w:val="73FF2041"/>
    <w:rsid w:val="73FF3BBD"/>
    <w:rsid w:val="73FF9036"/>
    <w:rsid w:val="745FCC1D"/>
    <w:rsid w:val="75794409"/>
    <w:rsid w:val="76BF79A7"/>
    <w:rsid w:val="76D528B5"/>
    <w:rsid w:val="76EF0FED"/>
    <w:rsid w:val="76F3E6A9"/>
    <w:rsid w:val="7707987A"/>
    <w:rsid w:val="774E9DBA"/>
    <w:rsid w:val="7756AE3B"/>
    <w:rsid w:val="775BB60B"/>
    <w:rsid w:val="776F9818"/>
    <w:rsid w:val="7772B3D2"/>
    <w:rsid w:val="777FE4E5"/>
    <w:rsid w:val="77BB2612"/>
    <w:rsid w:val="77F63C38"/>
    <w:rsid w:val="77FDDFEE"/>
    <w:rsid w:val="77FEFAD1"/>
    <w:rsid w:val="77FF032B"/>
    <w:rsid w:val="77FF0AD3"/>
    <w:rsid w:val="77FF3978"/>
    <w:rsid w:val="78DFC3FA"/>
    <w:rsid w:val="78F73F22"/>
    <w:rsid w:val="797A2F6C"/>
    <w:rsid w:val="79BF3A2D"/>
    <w:rsid w:val="79D538E0"/>
    <w:rsid w:val="79FBA84A"/>
    <w:rsid w:val="79FF9C64"/>
    <w:rsid w:val="7A6E21A3"/>
    <w:rsid w:val="7A7C278B"/>
    <w:rsid w:val="7ADFF88D"/>
    <w:rsid w:val="7AFDCF84"/>
    <w:rsid w:val="7AFF34E5"/>
    <w:rsid w:val="7AFFF49F"/>
    <w:rsid w:val="7B7200E4"/>
    <w:rsid w:val="7B779CEC"/>
    <w:rsid w:val="7BB31587"/>
    <w:rsid w:val="7BB4D7E1"/>
    <w:rsid w:val="7BB6B808"/>
    <w:rsid w:val="7BBF8C02"/>
    <w:rsid w:val="7BD3A58F"/>
    <w:rsid w:val="7BDF0B11"/>
    <w:rsid w:val="7BF6AE2F"/>
    <w:rsid w:val="7BF6E55C"/>
    <w:rsid w:val="7BFBBAFC"/>
    <w:rsid w:val="7BFD7C89"/>
    <w:rsid w:val="7BFDE2F9"/>
    <w:rsid w:val="7BFF2CFD"/>
    <w:rsid w:val="7CBC4E39"/>
    <w:rsid w:val="7CBF9F3A"/>
    <w:rsid w:val="7CF7E1EF"/>
    <w:rsid w:val="7CF9FD3E"/>
    <w:rsid w:val="7D7F1013"/>
    <w:rsid w:val="7D7FE6EC"/>
    <w:rsid w:val="7DBFD159"/>
    <w:rsid w:val="7DD98CE9"/>
    <w:rsid w:val="7DEE8249"/>
    <w:rsid w:val="7DEFD2A7"/>
    <w:rsid w:val="7DFA5EB4"/>
    <w:rsid w:val="7DFE8840"/>
    <w:rsid w:val="7E5C34B7"/>
    <w:rsid w:val="7EB8C5C1"/>
    <w:rsid w:val="7EBF9F84"/>
    <w:rsid w:val="7EDE3C4C"/>
    <w:rsid w:val="7EEF45C6"/>
    <w:rsid w:val="7EFFA2BF"/>
    <w:rsid w:val="7F3948BB"/>
    <w:rsid w:val="7F799961"/>
    <w:rsid w:val="7F7B1B05"/>
    <w:rsid w:val="7F7FA5A3"/>
    <w:rsid w:val="7F956F7A"/>
    <w:rsid w:val="7F9E9825"/>
    <w:rsid w:val="7FAD2AF3"/>
    <w:rsid w:val="7FADDB1D"/>
    <w:rsid w:val="7FAF57F3"/>
    <w:rsid w:val="7FBD694C"/>
    <w:rsid w:val="7FC66A5F"/>
    <w:rsid w:val="7FCBA352"/>
    <w:rsid w:val="7FD5D345"/>
    <w:rsid w:val="7FE8BEE1"/>
    <w:rsid w:val="7FEFA0C2"/>
    <w:rsid w:val="7FF01D11"/>
    <w:rsid w:val="7FF7769A"/>
    <w:rsid w:val="7FF7DCF2"/>
    <w:rsid w:val="7FF89EF2"/>
    <w:rsid w:val="7FFDC7FA"/>
    <w:rsid w:val="7FFFAE8B"/>
    <w:rsid w:val="7FFFC4C4"/>
    <w:rsid w:val="7FFFCE12"/>
    <w:rsid w:val="7FFFF313"/>
    <w:rsid w:val="97FAADA5"/>
    <w:rsid w:val="9B339AF2"/>
    <w:rsid w:val="9BE33342"/>
    <w:rsid w:val="9CFFFE03"/>
    <w:rsid w:val="9DFD1896"/>
    <w:rsid w:val="9E6782C0"/>
    <w:rsid w:val="9EFF6EE9"/>
    <w:rsid w:val="9FA346E3"/>
    <w:rsid w:val="9FDED63D"/>
    <w:rsid w:val="A7636F25"/>
    <w:rsid w:val="A7667E3B"/>
    <w:rsid w:val="AAEC6413"/>
    <w:rsid w:val="ABE5C066"/>
    <w:rsid w:val="AE7A6A90"/>
    <w:rsid w:val="AF8F56D0"/>
    <w:rsid w:val="AFDF8E1C"/>
    <w:rsid w:val="B22742D2"/>
    <w:rsid w:val="B379C565"/>
    <w:rsid w:val="B3EECBF7"/>
    <w:rsid w:val="B3EF337F"/>
    <w:rsid w:val="B4FBEE68"/>
    <w:rsid w:val="B6F5EA92"/>
    <w:rsid w:val="B76FDBA6"/>
    <w:rsid w:val="B777CFE7"/>
    <w:rsid w:val="B7BF2D96"/>
    <w:rsid w:val="B7BF8DEC"/>
    <w:rsid w:val="B7FD84A5"/>
    <w:rsid w:val="B8F7BDA9"/>
    <w:rsid w:val="BAD34662"/>
    <w:rsid w:val="BB1E9A4F"/>
    <w:rsid w:val="BBD1D2C6"/>
    <w:rsid w:val="BBD6E32F"/>
    <w:rsid w:val="BBEE818F"/>
    <w:rsid w:val="BBF70A8B"/>
    <w:rsid w:val="BDADC548"/>
    <w:rsid w:val="BDFB1227"/>
    <w:rsid w:val="BE6F8DDC"/>
    <w:rsid w:val="BE75A388"/>
    <w:rsid w:val="BEAD8650"/>
    <w:rsid w:val="BEC57CB7"/>
    <w:rsid w:val="BED571C1"/>
    <w:rsid w:val="BEDF4EA3"/>
    <w:rsid w:val="BEF31206"/>
    <w:rsid w:val="BEFB11D2"/>
    <w:rsid w:val="BF5F1AE9"/>
    <w:rsid w:val="BF7511AB"/>
    <w:rsid w:val="BFA631D0"/>
    <w:rsid w:val="BFB7EF86"/>
    <w:rsid w:val="BFBF4015"/>
    <w:rsid w:val="BFBF625C"/>
    <w:rsid w:val="BFBFCD53"/>
    <w:rsid w:val="BFDBFE4C"/>
    <w:rsid w:val="BFDEFE84"/>
    <w:rsid w:val="BFDF0EC3"/>
    <w:rsid w:val="BFEF7422"/>
    <w:rsid w:val="BFFF360C"/>
    <w:rsid w:val="BFFF5208"/>
    <w:rsid w:val="C7F72922"/>
    <w:rsid w:val="CDB6DE81"/>
    <w:rsid w:val="CDFAF5B4"/>
    <w:rsid w:val="CF6F1FEB"/>
    <w:rsid w:val="CF850594"/>
    <w:rsid w:val="CFBE415F"/>
    <w:rsid w:val="CFE39D61"/>
    <w:rsid w:val="CFEFC41B"/>
    <w:rsid w:val="CFFD5964"/>
    <w:rsid w:val="D38F5BB0"/>
    <w:rsid w:val="D47E7E86"/>
    <w:rsid w:val="D637E125"/>
    <w:rsid w:val="D6C54BFB"/>
    <w:rsid w:val="D779B982"/>
    <w:rsid w:val="D7FF0922"/>
    <w:rsid w:val="D8DF347D"/>
    <w:rsid w:val="DA477FC9"/>
    <w:rsid w:val="DA7D2610"/>
    <w:rsid w:val="DB3B6D81"/>
    <w:rsid w:val="DBE7F07D"/>
    <w:rsid w:val="DBEBCCFD"/>
    <w:rsid w:val="DBF404C9"/>
    <w:rsid w:val="DCFC869C"/>
    <w:rsid w:val="DDE7B892"/>
    <w:rsid w:val="DDFE5719"/>
    <w:rsid w:val="DEDF0579"/>
    <w:rsid w:val="DEEE49F4"/>
    <w:rsid w:val="DEFDBADA"/>
    <w:rsid w:val="DFB77093"/>
    <w:rsid w:val="DFBA9CF4"/>
    <w:rsid w:val="DFD9E41F"/>
    <w:rsid w:val="DFE5A22D"/>
    <w:rsid w:val="DFE7E878"/>
    <w:rsid w:val="DFEF17C0"/>
    <w:rsid w:val="DFF77525"/>
    <w:rsid w:val="E3A3D90B"/>
    <w:rsid w:val="E67F38E5"/>
    <w:rsid w:val="E7451F00"/>
    <w:rsid w:val="E77E761C"/>
    <w:rsid w:val="E77FB003"/>
    <w:rsid w:val="E7E4AAA3"/>
    <w:rsid w:val="E7FDC623"/>
    <w:rsid w:val="E7FFEB4F"/>
    <w:rsid w:val="EA5F50A9"/>
    <w:rsid w:val="EAA7911E"/>
    <w:rsid w:val="EAFD4E19"/>
    <w:rsid w:val="EBDF893F"/>
    <w:rsid w:val="ECEFE2D1"/>
    <w:rsid w:val="ED78A4F9"/>
    <w:rsid w:val="ED7F4B20"/>
    <w:rsid w:val="ED7FEABE"/>
    <w:rsid w:val="ED8EA64C"/>
    <w:rsid w:val="EDBD09A9"/>
    <w:rsid w:val="EDE59D21"/>
    <w:rsid w:val="EDE77F53"/>
    <w:rsid w:val="EDF5B704"/>
    <w:rsid w:val="EE5B869C"/>
    <w:rsid w:val="EEDF1829"/>
    <w:rsid w:val="EEDFA629"/>
    <w:rsid w:val="EEE7BB01"/>
    <w:rsid w:val="EEFBB1C8"/>
    <w:rsid w:val="EF7E0537"/>
    <w:rsid w:val="EFAD22A7"/>
    <w:rsid w:val="EFBFA6BD"/>
    <w:rsid w:val="EFDFED44"/>
    <w:rsid w:val="EFF489A9"/>
    <w:rsid w:val="EFFCA10E"/>
    <w:rsid w:val="EFFF6804"/>
    <w:rsid w:val="F1789489"/>
    <w:rsid w:val="F2FF67FB"/>
    <w:rsid w:val="F3AE3962"/>
    <w:rsid w:val="F3FBBB12"/>
    <w:rsid w:val="F3FF76A6"/>
    <w:rsid w:val="F5DB4A6F"/>
    <w:rsid w:val="F5DDF558"/>
    <w:rsid w:val="F65FC488"/>
    <w:rsid w:val="F66FFFBE"/>
    <w:rsid w:val="F67F1AA1"/>
    <w:rsid w:val="F6FF736B"/>
    <w:rsid w:val="F6FF8ABB"/>
    <w:rsid w:val="F7736D80"/>
    <w:rsid w:val="F77B17AA"/>
    <w:rsid w:val="F7DE2618"/>
    <w:rsid w:val="F91FCA98"/>
    <w:rsid w:val="F96776E3"/>
    <w:rsid w:val="F97331AD"/>
    <w:rsid w:val="F99E6094"/>
    <w:rsid w:val="F9CB7EDE"/>
    <w:rsid w:val="F9EF4047"/>
    <w:rsid w:val="F9F77072"/>
    <w:rsid w:val="FAF5F95B"/>
    <w:rsid w:val="FAFFD3F9"/>
    <w:rsid w:val="FB3E0F69"/>
    <w:rsid w:val="FB7BB860"/>
    <w:rsid w:val="FB7D38C0"/>
    <w:rsid w:val="FB8B557E"/>
    <w:rsid w:val="FB9DC6A3"/>
    <w:rsid w:val="FBB35640"/>
    <w:rsid w:val="FBEADAD9"/>
    <w:rsid w:val="FBFB2C84"/>
    <w:rsid w:val="FBFB2FCA"/>
    <w:rsid w:val="FBFDA5AC"/>
    <w:rsid w:val="FC5FE86C"/>
    <w:rsid w:val="FC6F6A3D"/>
    <w:rsid w:val="FC7B643D"/>
    <w:rsid w:val="FC7FDC4A"/>
    <w:rsid w:val="FD7F35EC"/>
    <w:rsid w:val="FDBFF543"/>
    <w:rsid w:val="FDDFFD9A"/>
    <w:rsid w:val="FDFE9EFA"/>
    <w:rsid w:val="FE398695"/>
    <w:rsid w:val="FE572BBB"/>
    <w:rsid w:val="FE7F3A36"/>
    <w:rsid w:val="FEBFC724"/>
    <w:rsid w:val="FEDF5629"/>
    <w:rsid w:val="FEF37979"/>
    <w:rsid w:val="FEF445FD"/>
    <w:rsid w:val="FEF7DC0E"/>
    <w:rsid w:val="FEFD2E95"/>
    <w:rsid w:val="FEFF005D"/>
    <w:rsid w:val="FEFF6E20"/>
    <w:rsid w:val="FF3522AB"/>
    <w:rsid w:val="FFB9E6AD"/>
    <w:rsid w:val="FFC6C8AE"/>
    <w:rsid w:val="FFD5AA4B"/>
    <w:rsid w:val="FFEA163F"/>
    <w:rsid w:val="FFEA5764"/>
    <w:rsid w:val="FFEBE4B7"/>
    <w:rsid w:val="FFEF5A82"/>
    <w:rsid w:val="FFF5A8EC"/>
    <w:rsid w:val="FFF96D96"/>
    <w:rsid w:val="FFFC471C"/>
    <w:rsid w:val="FFFD39A1"/>
    <w:rsid w:val="FFFDC110"/>
    <w:rsid w:val="FFFE3A9D"/>
    <w:rsid w:val="FFFF2027"/>
    <w:rsid w:val="FFFFD8E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qFormat/>
    <w:uiPriority w:val="0"/>
    <w:pPr>
      <w:tabs>
        <w:tab w:val="center" w:pos="4153"/>
        <w:tab w:val="right" w:pos="8306"/>
      </w:tabs>
      <w:snapToGrid w:val="0"/>
      <w:jc w:val="center"/>
    </w:pPr>
    <w:rPr>
      <w:sz w:val="18"/>
      <w:szCs w:val="18"/>
    </w:rPr>
  </w:style>
  <w:style w:type="paragraph" w:styleId="4">
    <w:name w:val="Normal (Web)"/>
    <w:basedOn w:val="1"/>
    <w:qFormat/>
    <w:uiPriority w:val="0"/>
    <w:pPr>
      <w:spacing w:before="100" w:beforeAutospacing="1" w:after="100" w:afterAutospacing="1"/>
      <w:ind w:left="0" w:right="0"/>
      <w:jc w:val="left"/>
    </w:pPr>
    <w:rPr>
      <w:kern w:val="0"/>
      <w:sz w:val="24"/>
      <w:lang w:val="en-US" w:eastAsia="zh-CN" w:bidi="ar"/>
    </w:rPr>
  </w:style>
  <w:style w:type="character" w:styleId="7">
    <w:name w:val="Hyperlink"/>
    <w:basedOn w:val="6"/>
    <w:qFormat/>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6</TotalTime>
  <ScaleCrop>false</ScaleCrop>
  <LinksUpToDate>false</LinksUpToDate>
  <CharactersWithSpaces>0</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2023-11-17T17:34:00Z</dcterms:created>
  <dc:creator>csrc</dc:creator>
  <cp:lastModifiedBy>user</cp:lastModifiedBy>
  <dcterms:modified xsi:type="dcterms:W3CDTF">2025-02-21T16:11:32Z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y fmtid="{D5CDD505-2E9C-101B-9397-08002B2CF9AE}" pid="3" name="ICV">
    <vt:lpwstr>6E50D6BC1684E1C319E41065FCFC32D4</vt:lpwstr>
  </property>
</Properties>
</file>